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3E" w:rsidRDefault="00FB143E" w:rsidP="00301731">
      <w:pPr>
        <w:rPr>
          <w:rFonts w:cstheme="minorHAnsi"/>
          <w:sz w:val="24"/>
          <w:szCs w:val="24"/>
        </w:rPr>
      </w:pPr>
    </w:p>
    <w:p w:rsidR="00FB143E" w:rsidRDefault="00FB143E" w:rsidP="00301731">
      <w:pPr>
        <w:rPr>
          <w:rFonts w:cstheme="minorHAnsi"/>
          <w:sz w:val="24"/>
          <w:szCs w:val="24"/>
        </w:rPr>
      </w:pPr>
    </w:p>
    <w:p w:rsidR="00FB143E" w:rsidRDefault="00FB143E" w:rsidP="00301731">
      <w:pPr>
        <w:rPr>
          <w:rFonts w:cstheme="minorHAnsi"/>
          <w:sz w:val="24"/>
          <w:szCs w:val="24"/>
        </w:rPr>
      </w:pPr>
    </w:p>
    <w:p w:rsidR="00FB143E" w:rsidRDefault="00FB143E" w:rsidP="00301731">
      <w:pPr>
        <w:rPr>
          <w:rFonts w:cstheme="minorHAnsi"/>
          <w:sz w:val="24"/>
          <w:szCs w:val="24"/>
        </w:rPr>
      </w:pPr>
    </w:p>
    <w:p w:rsidR="00FB143E" w:rsidRDefault="00FB143E" w:rsidP="00301731">
      <w:pPr>
        <w:rPr>
          <w:rFonts w:cstheme="minorHAnsi"/>
          <w:sz w:val="24"/>
          <w:szCs w:val="24"/>
        </w:rPr>
      </w:pPr>
    </w:p>
    <w:p w:rsidR="00FB143E" w:rsidRDefault="00FB143E" w:rsidP="00301731">
      <w:pPr>
        <w:rPr>
          <w:rFonts w:cstheme="minorHAnsi"/>
          <w:sz w:val="24"/>
          <w:szCs w:val="24"/>
        </w:rPr>
      </w:pPr>
    </w:p>
    <w:p w:rsidR="00FB143E" w:rsidRDefault="00FB143E" w:rsidP="00301731">
      <w:pPr>
        <w:rPr>
          <w:rFonts w:cstheme="minorHAnsi"/>
          <w:sz w:val="24"/>
          <w:szCs w:val="24"/>
        </w:rPr>
      </w:pPr>
    </w:p>
    <w:p w:rsidR="00FB143E" w:rsidRDefault="00FB143E" w:rsidP="00301731">
      <w:pPr>
        <w:rPr>
          <w:rFonts w:cstheme="minorHAnsi"/>
          <w:sz w:val="24"/>
          <w:szCs w:val="24"/>
        </w:rPr>
      </w:pPr>
      <w:r>
        <w:rPr>
          <w:rFonts w:cstheme="minorHAnsi"/>
          <w:sz w:val="24"/>
          <w:szCs w:val="24"/>
        </w:rPr>
        <w:t>19</w:t>
      </w:r>
      <w:r w:rsidRPr="00FB143E">
        <w:rPr>
          <w:rFonts w:cstheme="minorHAnsi"/>
          <w:sz w:val="24"/>
          <w:szCs w:val="24"/>
          <w:vertAlign w:val="superscript"/>
        </w:rPr>
        <w:t>th</w:t>
      </w:r>
      <w:r>
        <w:rPr>
          <w:rFonts w:cstheme="minorHAnsi"/>
          <w:sz w:val="24"/>
          <w:szCs w:val="24"/>
        </w:rPr>
        <w:t xml:space="preserve"> January 2024.</w:t>
      </w:r>
    </w:p>
    <w:p w:rsidR="00FB143E" w:rsidRDefault="00FB143E" w:rsidP="00301731">
      <w:pPr>
        <w:rPr>
          <w:rFonts w:cstheme="minorHAnsi"/>
          <w:sz w:val="24"/>
          <w:szCs w:val="24"/>
        </w:rPr>
      </w:pPr>
    </w:p>
    <w:p w:rsidR="00FB143E" w:rsidRDefault="00FB143E" w:rsidP="00301731">
      <w:pPr>
        <w:rPr>
          <w:rFonts w:cstheme="minorHAnsi"/>
          <w:sz w:val="24"/>
          <w:szCs w:val="24"/>
        </w:rPr>
      </w:pPr>
    </w:p>
    <w:p w:rsidR="002F22BE" w:rsidRPr="002F22BE" w:rsidRDefault="002F22BE" w:rsidP="002F22BE">
      <w:pPr>
        <w:rPr>
          <w:rFonts w:eastAsia="MS Mincho" w:cstheme="minorHAnsi"/>
          <w:sz w:val="24"/>
          <w:szCs w:val="24"/>
        </w:rPr>
      </w:pPr>
      <w:r w:rsidRPr="002F22BE">
        <w:rPr>
          <w:rFonts w:ascii="Arial" w:hAnsi="Arial" w:cs="Arial"/>
          <w:sz w:val="24"/>
          <w:szCs w:val="24"/>
          <w:lang w:eastAsia="ja-JP"/>
        </w:rPr>
        <w:t>■■■■■■■■</w:t>
      </w:r>
      <w:r w:rsidRPr="002F22BE">
        <w:rPr>
          <w:rFonts w:eastAsia="MS Mincho" w:cstheme="minorHAnsi"/>
          <w:sz w:val="24"/>
          <w:szCs w:val="24"/>
        </w:rPr>
        <w:t>,</w:t>
      </w:r>
    </w:p>
    <w:p w:rsidR="002F22BE" w:rsidRPr="002F22BE" w:rsidRDefault="002F22BE" w:rsidP="002F22BE">
      <w:pPr>
        <w:rPr>
          <w:rFonts w:eastAsia="MS Mincho" w:cstheme="minorHAnsi"/>
          <w:sz w:val="24"/>
          <w:szCs w:val="24"/>
        </w:rPr>
      </w:pPr>
      <w:r w:rsidRPr="002F22BE">
        <w:rPr>
          <w:rFonts w:ascii="Arial" w:hAnsi="Arial" w:cs="Arial"/>
          <w:sz w:val="24"/>
          <w:szCs w:val="24"/>
          <w:lang w:eastAsia="ja-JP"/>
        </w:rPr>
        <w:t>■■■■</w:t>
      </w:r>
      <w:r w:rsidRPr="002F22BE">
        <w:rPr>
          <w:rFonts w:eastAsia="MS Mincho" w:cstheme="minorHAnsi"/>
          <w:sz w:val="24"/>
          <w:szCs w:val="24"/>
        </w:rPr>
        <w:t>,</w:t>
      </w:r>
    </w:p>
    <w:p w:rsidR="002F22BE" w:rsidRPr="002F22BE" w:rsidRDefault="002F22BE" w:rsidP="002F22BE">
      <w:pPr>
        <w:rPr>
          <w:rFonts w:eastAsia="MS Mincho" w:cstheme="minorHAnsi"/>
          <w:sz w:val="24"/>
          <w:szCs w:val="24"/>
        </w:rPr>
      </w:pPr>
      <w:r w:rsidRPr="002F22BE">
        <w:rPr>
          <w:rFonts w:ascii="Arial" w:hAnsi="Arial" w:cs="Arial"/>
          <w:sz w:val="24"/>
          <w:szCs w:val="24"/>
          <w:lang w:eastAsia="ja-JP"/>
        </w:rPr>
        <w:t>■■■■</w:t>
      </w:r>
      <w:r w:rsidRPr="002F22BE">
        <w:rPr>
          <w:rFonts w:eastAsia="MS Mincho" w:cstheme="minorHAnsi"/>
          <w:sz w:val="24"/>
          <w:szCs w:val="24"/>
        </w:rPr>
        <w:t>,</w:t>
      </w:r>
    </w:p>
    <w:p w:rsidR="002F22BE" w:rsidRPr="002F22BE" w:rsidRDefault="002F22BE" w:rsidP="002F22BE">
      <w:pPr>
        <w:rPr>
          <w:rFonts w:eastAsia="MS Mincho" w:cstheme="minorHAnsi"/>
          <w:sz w:val="24"/>
          <w:szCs w:val="24"/>
        </w:rPr>
      </w:pPr>
      <w:r w:rsidRPr="002F22BE">
        <w:rPr>
          <w:rFonts w:ascii="Arial" w:hAnsi="Arial" w:cs="Arial"/>
          <w:sz w:val="24"/>
          <w:szCs w:val="24"/>
          <w:lang w:eastAsia="ja-JP"/>
        </w:rPr>
        <w:t>■■■■</w:t>
      </w:r>
      <w:r w:rsidRPr="002F22BE">
        <w:rPr>
          <w:rFonts w:eastAsia="MS Mincho" w:cstheme="minorHAnsi"/>
          <w:noProof/>
          <w:sz w:val="24"/>
          <w:szCs w:val="24"/>
        </w:rPr>
        <w:t>,</w:t>
      </w:r>
      <w:r w:rsidRPr="002F22BE">
        <w:rPr>
          <w:rFonts w:eastAsia="MS Mincho" w:cstheme="minorHAnsi"/>
          <w:sz w:val="24"/>
          <w:szCs w:val="24"/>
        </w:rPr>
        <w:t xml:space="preserve"> </w:t>
      </w:r>
    </w:p>
    <w:p w:rsidR="002F22BE" w:rsidRPr="002F22BE" w:rsidRDefault="002F22BE" w:rsidP="002F22BE">
      <w:pPr>
        <w:rPr>
          <w:rFonts w:eastAsia="MS Mincho" w:cstheme="minorHAnsi"/>
          <w:noProof/>
          <w:sz w:val="24"/>
          <w:szCs w:val="24"/>
        </w:rPr>
      </w:pPr>
      <w:r w:rsidRPr="002F22BE">
        <w:rPr>
          <w:rFonts w:ascii="Arial" w:hAnsi="Arial" w:cs="Arial"/>
          <w:sz w:val="24"/>
          <w:szCs w:val="24"/>
          <w:lang w:eastAsia="ja-JP"/>
        </w:rPr>
        <w:t>■■■■</w:t>
      </w:r>
      <w:r w:rsidRPr="002F22BE">
        <w:rPr>
          <w:rFonts w:eastAsia="MS Mincho" w:cstheme="minorHAnsi"/>
          <w:noProof/>
          <w:sz w:val="24"/>
          <w:szCs w:val="24"/>
        </w:rPr>
        <w:t xml:space="preserve">, </w:t>
      </w:r>
    </w:p>
    <w:p w:rsidR="00301731" w:rsidRDefault="002F22BE" w:rsidP="002F22BE">
      <w:pPr>
        <w:rPr>
          <w:rFonts w:cstheme="minorHAnsi"/>
          <w:noProof/>
          <w:sz w:val="24"/>
          <w:szCs w:val="24"/>
          <w:u w:val="single"/>
        </w:rPr>
      </w:pPr>
      <w:r w:rsidRPr="002F22BE">
        <w:rPr>
          <w:rFonts w:ascii="Arial" w:hAnsi="Arial" w:cs="Arial" w:hint="eastAsia"/>
          <w:sz w:val="24"/>
          <w:szCs w:val="24"/>
          <w:lang w:eastAsia="ja-JP"/>
        </w:rPr>
        <w:t>■■■■■■■■</w:t>
      </w:r>
      <w:bookmarkStart w:id="0" w:name="_GoBack"/>
      <w:bookmarkEnd w:id="0"/>
    </w:p>
    <w:p w:rsidR="00301731" w:rsidRPr="00FB295A" w:rsidRDefault="00301731" w:rsidP="00301731">
      <w:pPr>
        <w:rPr>
          <w:rFonts w:eastAsia="Calibri" w:cstheme="minorHAnsi"/>
          <w:sz w:val="24"/>
          <w:szCs w:val="24"/>
        </w:rPr>
      </w:pPr>
    </w:p>
    <w:p w:rsidR="00301731" w:rsidRPr="00347FD5" w:rsidRDefault="00301731" w:rsidP="00301731">
      <w:pPr>
        <w:pStyle w:val="BodyText"/>
        <w:ind w:left="720" w:hanging="720"/>
        <w:jc w:val="both"/>
        <w:rPr>
          <w:rFonts w:asciiTheme="minorHAnsi" w:hAnsiTheme="minorHAnsi" w:cstheme="minorHAnsi"/>
          <w:b/>
          <w:bCs/>
          <w:u w:val="none"/>
        </w:rPr>
      </w:pPr>
    </w:p>
    <w:p w:rsidR="00301731" w:rsidRDefault="00301731" w:rsidP="00301731">
      <w:pPr>
        <w:pStyle w:val="BodyText"/>
        <w:ind w:left="720" w:hanging="720"/>
        <w:jc w:val="both"/>
        <w:rPr>
          <w:rFonts w:asciiTheme="minorHAnsi" w:hAnsiTheme="minorHAnsi" w:cstheme="minorHAnsi"/>
          <w:b/>
          <w:sz w:val="22"/>
          <w:u w:val="none"/>
        </w:rPr>
      </w:pPr>
      <w:r w:rsidRPr="00FB143E">
        <w:rPr>
          <w:rFonts w:asciiTheme="minorHAnsi" w:hAnsiTheme="minorHAnsi" w:cstheme="minorHAnsi"/>
          <w:b/>
          <w:bCs/>
          <w:sz w:val="22"/>
          <w:u w:val="none"/>
        </w:rPr>
        <w:t>Re</w:t>
      </w:r>
      <w:r w:rsidRPr="00347FD5">
        <w:rPr>
          <w:rFonts w:asciiTheme="minorHAnsi" w:hAnsiTheme="minorHAnsi" w:cstheme="minorHAnsi"/>
          <w:b/>
          <w:bCs/>
          <w:color w:val="FF0000"/>
          <w:sz w:val="22"/>
          <w:u w:val="none"/>
        </w:rPr>
        <w:t>:</w:t>
      </w:r>
      <w:r w:rsidRPr="00347FD5">
        <w:rPr>
          <w:rFonts w:asciiTheme="minorHAnsi" w:hAnsiTheme="minorHAnsi" w:cstheme="minorHAnsi"/>
          <w:b/>
          <w:bCs/>
          <w:color w:val="FF0000"/>
          <w:sz w:val="22"/>
          <w:u w:val="none"/>
        </w:rPr>
        <w:tab/>
      </w:r>
      <w:r w:rsidRPr="00FB143E">
        <w:rPr>
          <w:rFonts w:asciiTheme="minorHAnsi" w:hAnsiTheme="minorHAnsi" w:cstheme="minorHAnsi"/>
          <w:b/>
          <w:bCs/>
          <w:sz w:val="22"/>
          <w:u w:val="none"/>
        </w:rPr>
        <w:t>C</w:t>
      </w:r>
      <w:r w:rsidRPr="00FB143E">
        <w:rPr>
          <w:rFonts w:asciiTheme="minorHAnsi" w:hAnsiTheme="minorHAnsi" w:cstheme="minorHAnsi"/>
          <w:b/>
          <w:sz w:val="22"/>
          <w:u w:val="none"/>
        </w:rPr>
        <w:t xml:space="preserve">ompliance with conditions attached to Section 4 discharge licence reference WPL 11: </w:t>
      </w:r>
      <w:r w:rsidR="008B50A2" w:rsidRPr="00FB143E">
        <w:rPr>
          <w:rFonts w:asciiTheme="minorHAnsi" w:hAnsiTheme="minorHAnsi" w:cstheme="minorHAnsi"/>
          <w:b/>
          <w:sz w:val="22"/>
          <w:u w:val="none"/>
        </w:rPr>
        <w:t xml:space="preserve">Garden Village, </w:t>
      </w:r>
      <w:r w:rsidRPr="00FB143E">
        <w:rPr>
          <w:rFonts w:asciiTheme="minorHAnsi" w:hAnsiTheme="minorHAnsi" w:cstheme="minorHAnsi"/>
          <w:b/>
          <w:sz w:val="22"/>
          <w:u w:val="none"/>
        </w:rPr>
        <w:t>grant date 11</w:t>
      </w:r>
      <w:r w:rsidRPr="00FB143E">
        <w:rPr>
          <w:rFonts w:asciiTheme="minorHAnsi" w:hAnsiTheme="minorHAnsi" w:cstheme="minorHAnsi"/>
          <w:b/>
          <w:sz w:val="22"/>
          <w:u w:val="none"/>
          <w:vertAlign w:val="superscript"/>
        </w:rPr>
        <w:t>th</w:t>
      </w:r>
      <w:r w:rsidRPr="00FB143E">
        <w:rPr>
          <w:rFonts w:asciiTheme="minorHAnsi" w:hAnsiTheme="minorHAnsi" w:cstheme="minorHAnsi"/>
          <w:b/>
          <w:sz w:val="22"/>
          <w:u w:val="none"/>
        </w:rPr>
        <w:t xml:space="preserve"> December 1991 issued under Local Government (Water Pollution) Act 1977 (as amended).</w:t>
      </w:r>
    </w:p>
    <w:p w:rsidR="00FB143E" w:rsidRPr="00347FD5" w:rsidRDefault="00FB143E" w:rsidP="00301731">
      <w:pPr>
        <w:pStyle w:val="BodyText"/>
        <w:ind w:left="720" w:hanging="720"/>
        <w:jc w:val="both"/>
        <w:rPr>
          <w:rFonts w:asciiTheme="minorHAnsi" w:hAnsiTheme="minorHAnsi" w:cstheme="minorHAnsi"/>
          <w:b/>
          <w:sz w:val="22"/>
        </w:rPr>
      </w:pPr>
      <w:r>
        <w:rPr>
          <w:rFonts w:asciiTheme="minorHAnsi" w:hAnsiTheme="minorHAnsi" w:cstheme="minorHAnsi"/>
          <w:b/>
          <w:sz w:val="22"/>
          <w:u w:val="none"/>
        </w:rPr>
        <w:t xml:space="preserve">------------------------------------------------------------------------------------------------------------------------------- </w:t>
      </w:r>
    </w:p>
    <w:p w:rsidR="0041354F" w:rsidRPr="00347FD5" w:rsidRDefault="002F22BE">
      <w:pPr>
        <w:rPr>
          <w:rFonts w:cstheme="minorHAnsi"/>
        </w:rPr>
      </w:pPr>
    </w:p>
    <w:p w:rsidR="00301731" w:rsidRPr="00347FD5" w:rsidRDefault="00FB143E">
      <w:pPr>
        <w:rPr>
          <w:rFonts w:cstheme="minorHAnsi"/>
        </w:rPr>
      </w:pPr>
      <w:r>
        <w:rPr>
          <w:rFonts w:cstheme="minorHAnsi"/>
        </w:rPr>
        <w:t xml:space="preserve">A </w:t>
      </w:r>
      <w:proofErr w:type="spellStart"/>
      <w:r>
        <w:rPr>
          <w:rFonts w:cstheme="minorHAnsi"/>
        </w:rPr>
        <w:t>C</w:t>
      </w:r>
      <w:r w:rsidR="00301731" w:rsidRPr="00347FD5">
        <w:rPr>
          <w:rFonts w:cstheme="minorHAnsi"/>
        </w:rPr>
        <w:t>hara</w:t>
      </w:r>
      <w:proofErr w:type="spellEnd"/>
      <w:r w:rsidR="00301731" w:rsidRPr="00347FD5">
        <w:rPr>
          <w:rFonts w:cstheme="minorHAnsi"/>
        </w:rPr>
        <w:t>,</w:t>
      </w:r>
    </w:p>
    <w:p w:rsidR="00DA49F2" w:rsidRDefault="00DA49F2">
      <w:pPr>
        <w:rPr>
          <w:rFonts w:cstheme="minorHAnsi"/>
        </w:rPr>
      </w:pPr>
    </w:p>
    <w:p w:rsidR="00D24178" w:rsidRDefault="00824F75">
      <w:r>
        <w:rPr>
          <w:rFonts w:cstheme="minorHAnsi"/>
        </w:rPr>
        <w:t>T</w:t>
      </w:r>
      <w:r w:rsidR="00A96C0F">
        <w:rPr>
          <w:rFonts w:cstheme="minorHAnsi"/>
        </w:rPr>
        <w:t>hank you for your response of 10</w:t>
      </w:r>
      <w:r w:rsidR="000867F9">
        <w:rPr>
          <w:rFonts w:cstheme="minorHAnsi"/>
        </w:rPr>
        <w:t>th</w:t>
      </w:r>
      <w:r>
        <w:rPr>
          <w:rFonts w:cstheme="minorHAnsi"/>
        </w:rPr>
        <w:t xml:space="preserve"> </w:t>
      </w:r>
      <w:r w:rsidR="00A96C0F">
        <w:rPr>
          <w:rFonts w:cstheme="minorHAnsi"/>
        </w:rPr>
        <w:t>January in the matter above. We have received the</w:t>
      </w:r>
      <w:r w:rsidR="00FB295A">
        <w:t xml:space="preserve"> compliance monitoring r</w:t>
      </w:r>
      <w:r w:rsidR="00A96C0F">
        <w:t xml:space="preserve">esults </w:t>
      </w:r>
      <w:r w:rsidR="006C6700">
        <w:t>for 2023</w:t>
      </w:r>
      <w:r w:rsidR="00A96C0F">
        <w:t>. It is noted that the effluent exceeded the limits in the di</w:t>
      </w:r>
      <w:r w:rsidR="006C6700">
        <w:t>scharge licence on five</w:t>
      </w:r>
      <w:r w:rsidR="00A96C0F">
        <w:t xml:space="preserve"> occasions and passed on one in 2023. In this regard the issues highlighted by Turbine on the age of the plant and the issue with storm water are noted. </w:t>
      </w:r>
      <w:r w:rsidR="006C6700">
        <w:t>It is also noted that the missing 6 monitoring events</w:t>
      </w:r>
      <w:r w:rsidR="00486DDE">
        <w:t xml:space="preserve"> from 2023</w:t>
      </w:r>
      <w:r w:rsidR="006C6700">
        <w:t xml:space="preserve"> are being looked for with the contract lab.</w:t>
      </w:r>
    </w:p>
    <w:p w:rsidR="00A96C0F" w:rsidRDefault="00A96C0F"/>
    <w:p w:rsidR="00A96C0F" w:rsidRDefault="00A96C0F">
      <w:r>
        <w:t>It is noted from your monitoring data that phosphate in the effluent continues to remain low indicating the ferric dosing is working well</w:t>
      </w:r>
      <w:r w:rsidR="00486DDE">
        <w:t>, which will benefit the receiving water</w:t>
      </w:r>
      <w:r>
        <w:t xml:space="preserve">. However the limits of detection provided by the contract laboratory don’t provide enough resolution to ascertain the impact on the receiving water. In this regard you are requested to ensure compliance monitoring data in 2024 </w:t>
      </w:r>
      <w:r w:rsidR="004C3C83">
        <w:t>takes cognisance of the following:</w:t>
      </w:r>
    </w:p>
    <w:p w:rsidR="004C3C83" w:rsidRDefault="004C3C83" w:rsidP="004C3C83">
      <w:pPr>
        <w:pStyle w:val="ListParagraph"/>
        <w:numPr>
          <w:ilvl w:val="0"/>
          <w:numId w:val="1"/>
        </w:numPr>
      </w:pPr>
      <w:r>
        <w:t>The limit in surface water regulations for ortho-phosphate is 0.035 mg/l as P, so any sample results up and downstream of the plant shall have a limit of detection of 0.02 mg/l or lower.</w:t>
      </w:r>
    </w:p>
    <w:p w:rsidR="004C3C83" w:rsidRDefault="004C3C83" w:rsidP="004C3C83">
      <w:pPr>
        <w:pStyle w:val="ListParagraph"/>
        <w:numPr>
          <w:ilvl w:val="0"/>
          <w:numId w:val="1"/>
        </w:numPr>
      </w:pPr>
      <w:r>
        <w:t xml:space="preserve">The 2023 results did not include any Total Ammonia results. </w:t>
      </w:r>
      <w:r w:rsidR="00736AC8">
        <w:t>This is required in 2024 and t</w:t>
      </w:r>
      <w:r>
        <w:t>he limit in the surface water regulations for Ammonia is 0.065 mg/l as N</w:t>
      </w:r>
      <w:r w:rsidR="00736AC8">
        <w:t>, so c</w:t>
      </w:r>
      <w:r>
        <w:t>ompliance data up and downstream of the plant shall have a limit of detection of 0.03 mg/l or lower.</w:t>
      </w:r>
    </w:p>
    <w:p w:rsidR="004C3C83" w:rsidRDefault="004C3C83" w:rsidP="004C3C83">
      <w:pPr>
        <w:pStyle w:val="ListParagraph"/>
        <w:numPr>
          <w:ilvl w:val="0"/>
          <w:numId w:val="1"/>
        </w:numPr>
      </w:pPr>
      <w:r>
        <w:t xml:space="preserve">The Effluent and up and downstream monitoring results </w:t>
      </w:r>
      <w:r w:rsidR="00736AC8">
        <w:t xml:space="preserve">in 2024 </w:t>
      </w:r>
      <w:r>
        <w:t>shall include the parameter pH.</w:t>
      </w:r>
    </w:p>
    <w:p w:rsidR="004C3C83" w:rsidRDefault="004C3C83" w:rsidP="004C3C83">
      <w:pPr>
        <w:pStyle w:val="ListParagraph"/>
        <w:numPr>
          <w:ilvl w:val="0"/>
          <w:numId w:val="1"/>
        </w:numPr>
      </w:pPr>
      <w:r>
        <w:t>The results shall be submitted within 1 month of the sample date, so compliance can be assessed on an ongoing basis.</w:t>
      </w:r>
    </w:p>
    <w:p w:rsidR="00347FD5" w:rsidRDefault="00347FD5"/>
    <w:p w:rsidR="004C3C83" w:rsidRPr="00D24178" w:rsidRDefault="006C6700">
      <w:pPr>
        <w:rPr>
          <w:rFonts w:cstheme="minorHAnsi"/>
        </w:rPr>
      </w:pPr>
      <w:r>
        <w:t>With regards to the</w:t>
      </w:r>
      <w:r w:rsidR="004C3C83">
        <w:t xml:space="preserve"> construction of a sewage pumping station and a conne</w:t>
      </w:r>
      <w:r>
        <w:t>ction to the public mains under the DPI Scheme, the c</w:t>
      </w:r>
      <w:r w:rsidR="004C3C83">
        <w:t>ouncil engineer dealing with this, M</w:t>
      </w:r>
      <w:r>
        <w:t>ark Costello, reports that the c</w:t>
      </w:r>
      <w:r w:rsidR="004C3C83">
        <w:t>ouncil is awaiting a response fro</w:t>
      </w:r>
      <w:r>
        <w:t>m Uisce Eirreann regarding</w:t>
      </w:r>
      <w:r w:rsidR="004C3C83">
        <w:t xml:space="preserve"> prohibitive connection fees</w:t>
      </w:r>
      <w:r>
        <w:t xml:space="preserve"> being sought</w:t>
      </w:r>
      <w:r w:rsidR="004C3C83">
        <w:t>, and the project cannot proceed until this issue is resolved.</w:t>
      </w:r>
    </w:p>
    <w:p w:rsidR="00347FD5" w:rsidRDefault="00347FD5"/>
    <w:p w:rsidR="00347FD5" w:rsidRDefault="00347FD5">
      <w:r>
        <w:t>Is mise le meas,</w:t>
      </w:r>
    </w:p>
    <w:p w:rsidR="00347FD5" w:rsidRDefault="00347FD5"/>
    <w:p w:rsidR="008B50A2" w:rsidRDefault="008B50A2"/>
    <w:p w:rsidR="00347FD5" w:rsidRDefault="00347FD5">
      <w:r>
        <w:t>_______________</w:t>
      </w:r>
      <w:r w:rsidR="00FB143E">
        <w:t xml:space="preserve">___________ </w:t>
      </w:r>
    </w:p>
    <w:p w:rsidR="008B50A2" w:rsidRPr="00FB143E" w:rsidRDefault="00FB143E">
      <w:pPr>
        <w:rPr>
          <w:b/>
        </w:rPr>
      </w:pPr>
      <w:r w:rsidRPr="00FB143E">
        <w:rPr>
          <w:b/>
        </w:rPr>
        <w:t>KIARA KAVANAGH</w:t>
      </w:r>
    </w:p>
    <w:p w:rsidR="00FB143E" w:rsidRDefault="00FB143E">
      <w:r>
        <w:t>Senior Staff Officer</w:t>
      </w:r>
    </w:p>
    <w:p w:rsidR="00FB143E" w:rsidRDefault="00FB143E">
      <w:proofErr w:type="gramStart"/>
      <w:r>
        <w:t>Planning, Development &amp; Environment.</w:t>
      </w:r>
      <w:proofErr w:type="gramEnd"/>
    </w:p>
    <w:p w:rsidR="008B50A2" w:rsidRDefault="008B50A2"/>
    <w:p w:rsidR="008B50A2" w:rsidRDefault="008B50A2"/>
    <w:p w:rsidR="00824F75" w:rsidRDefault="008B50A2">
      <w:r>
        <w:t>Cc</w:t>
      </w:r>
      <w:r w:rsidR="000867F9">
        <w:t>:</w:t>
      </w:r>
      <w:r>
        <w:t xml:space="preserve"> </w:t>
      </w:r>
      <w:r w:rsidR="00824F75">
        <w:t>Ken McAvoy 3C Project Services</w:t>
      </w:r>
      <w:r w:rsidR="000867F9">
        <w:t>, 27 Westland Square, Pearse St, Dublin 2, D02 RW13.</w:t>
      </w:r>
    </w:p>
    <w:p w:rsidR="00C01838" w:rsidRDefault="000867F9">
      <w:r>
        <w:t xml:space="preserve">CC: </w:t>
      </w:r>
      <w:r w:rsidR="008B50A2">
        <w:t xml:space="preserve">Brendan Fay at </w:t>
      </w:r>
      <w:hyperlink r:id="rId6" w:history="1">
        <w:r w:rsidR="00FB295A" w:rsidRPr="00C93FBC">
          <w:rPr>
            <w:rStyle w:val="Hyperlink"/>
          </w:rPr>
          <w:t>bfay@turbine.ie</w:t>
        </w:r>
      </w:hyperlink>
    </w:p>
    <w:sectPr w:rsidR="00C01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B56"/>
    <w:multiLevelType w:val="hybridMultilevel"/>
    <w:tmpl w:val="AC163A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31"/>
    <w:rsid w:val="000867F9"/>
    <w:rsid w:val="00145B6C"/>
    <w:rsid w:val="00216A73"/>
    <w:rsid w:val="002F22BE"/>
    <w:rsid w:val="00301731"/>
    <w:rsid w:val="00347FD5"/>
    <w:rsid w:val="00375443"/>
    <w:rsid w:val="00486DDE"/>
    <w:rsid w:val="004C3C83"/>
    <w:rsid w:val="006C6700"/>
    <w:rsid w:val="00736AC8"/>
    <w:rsid w:val="007C2575"/>
    <w:rsid w:val="00824F75"/>
    <w:rsid w:val="008B50A2"/>
    <w:rsid w:val="00A96C0F"/>
    <w:rsid w:val="00C01838"/>
    <w:rsid w:val="00D06FF5"/>
    <w:rsid w:val="00D24178"/>
    <w:rsid w:val="00DA49F2"/>
    <w:rsid w:val="00FB143E"/>
    <w:rsid w:val="00FB29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3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1731"/>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301731"/>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347FD5"/>
    <w:rPr>
      <w:color w:val="0000FF" w:themeColor="hyperlink"/>
      <w:u w:val="single"/>
    </w:rPr>
  </w:style>
  <w:style w:type="paragraph" w:styleId="BalloonText">
    <w:name w:val="Balloon Text"/>
    <w:basedOn w:val="Normal"/>
    <w:link w:val="BalloonTextChar"/>
    <w:uiPriority w:val="99"/>
    <w:semiHidden/>
    <w:unhideWhenUsed/>
    <w:rsid w:val="00FB295A"/>
    <w:rPr>
      <w:rFonts w:ascii="Tahoma" w:hAnsi="Tahoma" w:cs="Tahoma"/>
      <w:sz w:val="16"/>
      <w:szCs w:val="16"/>
    </w:rPr>
  </w:style>
  <w:style w:type="character" w:customStyle="1" w:styleId="BalloonTextChar">
    <w:name w:val="Balloon Text Char"/>
    <w:basedOn w:val="DefaultParagraphFont"/>
    <w:link w:val="BalloonText"/>
    <w:uiPriority w:val="99"/>
    <w:semiHidden/>
    <w:rsid w:val="00FB295A"/>
    <w:rPr>
      <w:rFonts w:ascii="Tahoma" w:hAnsi="Tahoma" w:cs="Tahoma"/>
      <w:sz w:val="16"/>
      <w:szCs w:val="16"/>
    </w:rPr>
  </w:style>
  <w:style w:type="paragraph" w:styleId="ListParagraph">
    <w:name w:val="List Paragraph"/>
    <w:basedOn w:val="Normal"/>
    <w:uiPriority w:val="34"/>
    <w:qFormat/>
    <w:rsid w:val="004C3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3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1731"/>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301731"/>
    <w:rPr>
      <w:rFonts w:ascii="Times New Roman" w:eastAsia="Times New Roman" w:hAnsi="Times New Roman" w:cs="Times New Roman"/>
      <w:sz w:val="24"/>
      <w:szCs w:val="24"/>
      <w:u w:val="single"/>
    </w:rPr>
  </w:style>
  <w:style w:type="character" w:styleId="Hyperlink">
    <w:name w:val="Hyperlink"/>
    <w:basedOn w:val="DefaultParagraphFont"/>
    <w:uiPriority w:val="99"/>
    <w:unhideWhenUsed/>
    <w:rsid w:val="00347FD5"/>
    <w:rPr>
      <w:color w:val="0000FF" w:themeColor="hyperlink"/>
      <w:u w:val="single"/>
    </w:rPr>
  </w:style>
  <w:style w:type="paragraph" w:styleId="BalloonText">
    <w:name w:val="Balloon Text"/>
    <w:basedOn w:val="Normal"/>
    <w:link w:val="BalloonTextChar"/>
    <w:uiPriority w:val="99"/>
    <w:semiHidden/>
    <w:unhideWhenUsed/>
    <w:rsid w:val="00FB295A"/>
    <w:rPr>
      <w:rFonts w:ascii="Tahoma" w:hAnsi="Tahoma" w:cs="Tahoma"/>
      <w:sz w:val="16"/>
      <w:szCs w:val="16"/>
    </w:rPr>
  </w:style>
  <w:style w:type="character" w:customStyle="1" w:styleId="BalloonTextChar">
    <w:name w:val="Balloon Text Char"/>
    <w:basedOn w:val="DefaultParagraphFont"/>
    <w:link w:val="BalloonText"/>
    <w:uiPriority w:val="99"/>
    <w:semiHidden/>
    <w:rsid w:val="00FB295A"/>
    <w:rPr>
      <w:rFonts w:ascii="Tahoma" w:hAnsi="Tahoma" w:cs="Tahoma"/>
      <w:sz w:val="16"/>
      <w:szCs w:val="16"/>
    </w:rPr>
  </w:style>
  <w:style w:type="paragraph" w:styleId="ListParagraph">
    <w:name w:val="List Paragraph"/>
    <w:basedOn w:val="Normal"/>
    <w:uiPriority w:val="34"/>
    <w:qFormat/>
    <w:rsid w:val="004C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ay@turbine.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JSexton@wicklowcoco.ie</dc:creator>
  <cp:lastModifiedBy>Michael McNamara</cp:lastModifiedBy>
  <cp:revision>3</cp:revision>
  <cp:lastPrinted>2024-01-18T16:29:00Z</cp:lastPrinted>
  <dcterms:created xsi:type="dcterms:W3CDTF">2024-01-18T16:30:00Z</dcterms:created>
  <dcterms:modified xsi:type="dcterms:W3CDTF">2025-03-04T17:01:00Z</dcterms:modified>
</cp:coreProperties>
</file>