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92F4FF3" w14:textId="7D4050F9" w:rsidR="00533155" w:rsidRPr="001E39D4" w:rsidRDefault="00533155" w:rsidP="00533155">
      <w:pPr>
        <w:spacing w:before="120" w:after="120" w:line="240" w:lineRule="auto"/>
        <w:ind w:right="57"/>
        <w:jc w:val="center"/>
        <w:rPr>
          <w:rFonts w:ascii="Arial" w:hAnsi="Arial" w:cs="Arial"/>
          <w:b/>
          <w:sz w:val="24"/>
          <w:szCs w:val="24"/>
          <w:u w:val="single"/>
        </w:rPr>
      </w:pPr>
      <w:r w:rsidRPr="001E39D4">
        <w:rPr>
          <w:rFonts w:ascii="Arial" w:hAnsi="Arial" w:cs="Arial"/>
          <w:b/>
          <w:sz w:val="24"/>
          <w:szCs w:val="24"/>
          <w:u w:val="single"/>
        </w:rPr>
        <w:t xml:space="preserve">Item 8 </w:t>
      </w:r>
      <w:r w:rsidRPr="001E39D4">
        <w:rPr>
          <w:rFonts w:ascii="Arial" w:hAnsi="Arial" w:cs="Arial"/>
          <w:b/>
          <w:sz w:val="24"/>
          <w:szCs w:val="24"/>
          <w:u w:val="single"/>
        </w:rPr>
        <w:t>Draft Paper from MÉ for discussion</w:t>
      </w:r>
    </w:p>
    <w:p w14:paraId="276F5439" w14:textId="77777777" w:rsidR="00533155" w:rsidRPr="00533155" w:rsidRDefault="00533155" w:rsidP="00533155">
      <w:pPr>
        <w:spacing w:before="120" w:after="120" w:line="240" w:lineRule="auto"/>
        <w:ind w:right="57"/>
        <w:jc w:val="center"/>
        <w:rPr>
          <w:rFonts w:ascii="Arial" w:hAnsi="Arial" w:cs="Arial"/>
          <w:b/>
          <w:sz w:val="24"/>
          <w:szCs w:val="24"/>
        </w:rPr>
      </w:pPr>
    </w:p>
    <w:p w14:paraId="243FB95C" w14:textId="5F0480C3" w:rsidR="43D27563" w:rsidRDefault="78DC8A0D" w:rsidP="77BE0170">
      <w:pPr>
        <w:jc w:val="both"/>
        <w:rPr>
          <w:lang w:val="en-GB"/>
        </w:rPr>
      </w:pPr>
      <w:r w:rsidRPr="77BE0170">
        <w:rPr>
          <w:lang w:val="en-GB"/>
        </w:rPr>
        <w:t xml:space="preserve">Paper to </w:t>
      </w:r>
      <w:r w:rsidR="00E75D3C">
        <w:rPr>
          <w:lang w:val="en-GB"/>
        </w:rPr>
        <w:t>National Flood Forecast and Warning Service (NFFWS) Steering Committee</w:t>
      </w:r>
      <w:r w:rsidRPr="77BE0170">
        <w:rPr>
          <w:lang w:val="en-GB"/>
        </w:rPr>
        <w:t>:</w:t>
      </w:r>
      <w:r w:rsidR="04001907" w:rsidRPr="77BE0170">
        <w:rPr>
          <w:lang w:val="en-GB"/>
        </w:rPr>
        <w:t xml:space="preserve"> </w:t>
      </w:r>
      <w:r w:rsidR="20806B0F" w:rsidRPr="77BE0170">
        <w:rPr>
          <w:b/>
          <w:bCs/>
          <w:lang w:val="en-GB"/>
        </w:rPr>
        <w:t>Pre-o</w:t>
      </w:r>
      <w:r w:rsidR="0A78B418" w:rsidRPr="77BE0170">
        <w:rPr>
          <w:b/>
          <w:bCs/>
          <w:lang w:val="en-GB"/>
        </w:rPr>
        <w:t xml:space="preserve">perational Phase </w:t>
      </w:r>
      <w:r w:rsidR="556693EF" w:rsidRPr="77BE0170">
        <w:rPr>
          <w:b/>
          <w:bCs/>
          <w:lang w:val="en-GB"/>
        </w:rPr>
        <w:t>of</w:t>
      </w:r>
      <w:r w:rsidR="0A78B418" w:rsidRPr="77BE0170">
        <w:rPr>
          <w:b/>
          <w:bCs/>
          <w:lang w:val="en-GB"/>
        </w:rPr>
        <w:t xml:space="preserve"> Met Éireann’s </w:t>
      </w:r>
      <w:r w:rsidR="1D85EFA3" w:rsidRPr="77BE0170">
        <w:rPr>
          <w:b/>
          <w:bCs/>
          <w:lang w:val="en-GB"/>
        </w:rPr>
        <w:t xml:space="preserve">Flood Forecasting Centre </w:t>
      </w:r>
    </w:p>
    <w:p w14:paraId="0E7DC6C2" w14:textId="6C862CAE" w:rsidR="77BE0170" w:rsidRDefault="77BE0170" w:rsidP="77BE0170">
      <w:pPr>
        <w:jc w:val="both"/>
        <w:rPr>
          <w:b/>
          <w:bCs/>
          <w:lang w:val="en-GB"/>
        </w:rPr>
      </w:pPr>
      <w:bookmarkStart w:id="0" w:name="_GoBack"/>
      <w:bookmarkEnd w:id="0"/>
    </w:p>
    <w:p w14:paraId="265B5F23" w14:textId="40265C67" w:rsidR="43D27563" w:rsidRDefault="0036386B" w:rsidP="3B6A98FD">
      <w:pPr>
        <w:jc w:val="both"/>
        <w:rPr>
          <w:b/>
          <w:bCs/>
          <w:lang w:val="en-GB"/>
        </w:rPr>
      </w:pPr>
      <w:r>
        <w:rPr>
          <w:b/>
          <w:bCs/>
          <w:lang w:val="en-GB"/>
        </w:rPr>
        <w:t>8 November</w:t>
      </w:r>
      <w:r w:rsidR="0511D4D0" w:rsidRPr="77BE0170">
        <w:rPr>
          <w:b/>
          <w:bCs/>
          <w:lang w:val="en-GB"/>
        </w:rPr>
        <w:t xml:space="preserve"> 2023</w:t>
      </w:r>
    </w:p>
    <w:p w14:paraId="37AB5FA9" w14:textId="6E5D3644" w:rsidR="43D27563" w:rsidRDefault="09A62562" w:rsidP="0B5854AD">
      <w:pPr>
        <w:jc w:val="both"/>
        <w:rPr>
          <w:lang w:val="en-GB"/>
        </w:rPr>
      </w:pPr>
      <w:r w:rsidRPr="77BE0170">
        <w:rPr>
          <w:b/>
          <w:bCs/>
          <w:lang w:val="en-GB"/>
        </w:rPr>
        <w:t xml:space="preserve">Action for the </w:t>
      </w:r>
      <w:r w:rsidR="00E75D3C">
        <w:rPr>
          <w:b/>
          <w:bCs/>
          <w:lang w:val="en-GB"/>
        </w:rPr>
        <w:t>National Flood Forecast and Warning Service (NFFWS) Steering Committee</w:t>
      </w:r>
      <w:r w:rsidRPr="77BE0170">
        <w:rPr>
          <w:b/>
          <w:bCs/>
          <w:lang w:val="en-GB"/>
        </w:rPr>
        <w:t xml:space="preserve">: </w:t>
      </w:r>
      <w:r w:rsidRPr="77BE0170">
        <w:rPr>
          <w:lang w:val="en-GB"/>
        </w:rPr>
        <w:t xml:space="preserve">To </w:t>
      </w:r>
      <w:r w:rsidR="00E75D3C">
        <w:rPr>
          <w:lang w:val="en-GB"/>
        </w:rPr>
        <w:t xml:space="preserve">endorse </w:t>
      </w:r>
      <w:r w:rsidR="27B39434" w:rsidRPr="77BE0170">
        <w:rPr>
          <w:lang w:val="en-GB"/>
        </w:rPr>
        <w:t>Met Éireann’s Flood Forecasting Centre</w:t>
      </w:r>
      <w:r w:rsidR="4D822591" w:rsidRPr="77BE0170">
        <w:rPr>
          <w:lang w:val="en-GB"/>
        </w:rPr>
        <w:t xml:space="preserve"> (FFC)</w:t>
      </w:r>
      <w:r w:rsidR="0439B1EA" w:rsidRPr="77BE0170">
        <w:rPr>
          <w:lang w:val="en-GB"/>
        </w:rPr>
        <w:t xml:space="preserve"> moving to a pre-operational phase</w:t>
      </w:r>
      <w:r w:rsidR="72F31EA2" w:rsidRPr="77BE0170">
        <w:rPr>
          <w:lang w:val="en-GB"/>
        </w:rPr>
        <w:t xml:space="preserve">, noting that the FFC will move to an operational phase once operational staffing </w:t>
      </w:r>
      <w:r w:rsidR="652A92DA" w:rsidRPr="77BE0170">
        <w:rPr>
          <w:lang w:val="en-GB"/>
        </w:rPr>
        <w:t>arrangements</w:t>
      </w:r>
      <w:r w:rsidR="72F31EA2" w:rsidRPr="77BE0170">
        <w:rPr>
          <w:lang w:val="en-GB"/>
        </w:rPr>
        <w:t xml:space="preserve"> are finalised</w:t>
      </w:r>
      <w:r w:rsidR="33D16288" w:rsidRPr="77BE0170">
        <w:rPr>
          <w:lang w:val="en-GB"/>
        </w:rPr>
        <w:t>.</w:t>
      </w:r>
    </w:p>
    <w:p w14:paraId="2B996348" w14:textId="0625CE60" w:rsidR="00953A50" w:rsidRPr="00953A50" w:rsidRDefault="78DC8A0D" w:rsidP="77BE0170">
      <w:pPr>
        <w:jc w:val="both"/>
        <w:rPr>
          <w:b/>
          <w:bCs/>
          <w:lang w:val="en-GB"/>
        </w:rPr>
      </w:pPr>
      <w:r w:rsidRPr="77BE0170">
        <w:rPr>
          <w:b/>
          <w:bCs/>
          <w:lang w:val="en-GB"/>
        </w:rPr>
        <w:t>Background</w:t>
      </w:r>
    </w:p>
    <w:p w14:paraId="6E32C53B" w14:textId="35F467C7" w:rsidR="40518F84" w:rsidRDefault="552E4E63" w:rsidP="6439200F">
      <w:pPr>
        <w:spacing w:line="276" w:lineRule="auto"/>
        <w:jc w:val="both"/>
        <w:rPr>
          <w:rFonts w:ascii="Calibri" w:eastAsia="Calibri" w:hAnsi="Calibri" w:cs="Calibri"/>
          <w:lang w:val="en-GB"/>
        </w:rPr>
      </w:pPr>
      <w:r w:rsidRPr="77BE0170">
        <w:rPr>
          <w:rFonts w:ascii="Calibri" w:eastAsia="Calibri" w:hAnsi="Calibri" w:cs="Calibri"/>
          <w:lang w:val="en-GB"/>
        </w:rPr>
        <w:t>In January 2016</w:t>
      </w:r>
      <w:r w:rsidR="40518F84" w:rsidRPr="77BE0170">
        <w:rPr>
          <w:rFonts w:ascii="Calibri" w:eastAsia="Calibri" w:hAnsi="Calibri" w:cs="Calibri"/>
          <w:lang w:val="en-GB"/>
        </w:rPr>
        <w:t xml:space="preserve"> the Government decided to establish a National Flood Forecast Warning Service (NFFWS)</w:t>
      </w:r>
      <w:r w:rsidR="7CFB1EDA" w:rsidRPr="77BE0170">
        <w:rPr>
          <w:rFonts w:ascii="Calibri" w:eastAsia="Calibri" w:hAnsi="Calibri" w:cs="Calibri"/>
          <w:lang w:val="en-GB"/>
        </w:rPr>
        <w:t xml:space="preserve"> with an operational</w:t>
      </w:r>
      <w:r w:rsidR="40518F84" w:rsidRPr="77BE0170">
        <w:rPr>
          <w:rFonts w:ascii="Calibri" w:eastAsia="Calibri" w:hAnsi="Calibri" w:cs="Calibri"/>
          <w:lang w:val="en-GB"/>
        </w:rPr>
        <w:t xml:space="preserve"> Flood Forecast Centre (FFC) based in Met Éireann</w:t>
      </w:r>
      <w:r w:rsidR="74C63A41" w:rsidRPr="77BE0170">
        <w:rPr>
          <w:rFonts w:ascii="Calibri" w:eastAsia="Calibri" w:hAnsi="Calibri" w:cs="Calibri"/>
          <w:lang w:val="en-GB"/>
        </w:rPr>
        <w:t xml:space="preserve"> and t</w:t>
      </w:r>
      <w:r w:rsidR="40518F84" w:rsidRPr="77BE0170">
        <w:rPr>
          <w:rFonts w:ascii="Calibri" w:eastAsia="Calibri" w:hAnsi="Calibri" w:cs="Calibri"/>
          <w:lang w:val="en-GB"/>
        </w:rPr>
        <w:t xml:space="preserve">he </w:t>
      </w:r>
      <w:r w:rsidR="3E90407A" w:rsidRPr="77BE0170">
        <w:rPr>
          <w:rFonts w:ascii="Calibri" w:eastAsia="Calibri" w:hAnsi="Calibri" w:cs="Calibri"/>
          <w:lang w:val="en-GB"/>
        </w:rPr>
        <w:t>OPW (Office of Public Works)</w:t>
      </w:r>
      <w:r w:rsidR="40518F84" w:rsidRPr="77BE0170">
        <w:rPr>
          <w:rFonts w:ascii="Calibri" w:eastAsia="Calibri" w:hAnsi="Calibri" w:cs="Calibri"/>
          <w:lang w:val="en-GB"/>
        </w:rPr>
        <w:t xml:space="preserve"> provid</w:t>
      </w:r>
      <w:r w:rsidR="7B0E865A" w:rsidRPr="77BE0170">
        <w:rPr>
          <w:rFonts w:ascii="Calibri" w:eastAsia="Calibri" w:hAnsi="Calibri" w:cs="Calibri"/>
          <w:lang w:val="en-GB"/>
        </w:rPr>
        <w:t>ing</w:t>
      </w:r>
      <w:r w:rsidR="40518F84" w:rsidRPr="77BE0170">
        <w:rPr>
          <w:rFonts w:ascii="Calibri" w:eastAsia="Calibri" w:hAnsi="Calibri" w:cs="Calibri"/>
          <w:lang w:val="en-GB"/>
        </w:rPr>
        <w:t xml:space="preserve"> guidance and standards via an Oversight Unit.</w:t>
      </w:r>
      <w:r w:rsidR="753CAAB6" w:rsidRPr="77BE0170">
        <w:rPr>
          <w:rFonts w:ascii="Calibri" w:eastAsia="Calibri" w:hAnsi="Calibri" w:cs="Calibri"/>
          <w:lang w:val="en-GB"/>
        </w:rPr>
        <w:t xml:space="preserve"> </w:t>
      </w:r>
      <w:r w:rsidR="0D12A40D" w:rsidRPr="77BE0170">
        <w:rPr>
          <w:rFonts w:ascii="Calibri" w:eastAsia="Calibri" w:hAnsi="Calibri" w:cs="Calibri"/>
          <w:lang w:val="en-GB"/>
        </w:rPr>
        <w:t>It was decided to develop the</w:t>
      </w:r>
      <w:r w:rsidR="25A5D085" w:rsidRPr="77BE0170">
        <w:rPr>
          <w:rFonts w:ascii="Calibri" w:eastAsia="Calibri" w:hAnsi="Calibri" w:cs="Calibri"/>
          <w:lang w:val="en-GB"/>
        </w:rPr>
        <w:t xml:space="preserve"> NFFWS </w:t>
      </w:r>
      <w:r w:rsidR="0D975F45" w:rsidRPr="77BE0170">
        <w:rPr>
          <w:rFonts w:ascii="Calibri" w:eastAsia="Calibri" w:hAnsi="Calibri" w:cs="Calibri"/>
          <w:lang w:val="en-GB"/>
        </w:rPr>
        <w:t>in a</w:t>
      </w:r>
      <w:r w:rsidR="25A5D085" w:rsidRPr="77BE0170">
        <w:rPr>
          <w:rFonts w:ascii="Calibri" w:eastAsia="Calibri" w:hAnsi="Calibri" w:cs="Calibri"/>
          <w:lang w:val="en-GB"/>
        </w:rPr>
        <w:t xml:space="preserve"> </w:t>
      </w:r>
      <w:r w:rsidR="0B3157A9" w:rsidRPr="77BE0170">
        <w:rPr>
          <w:rFonts w:ascii="Calibri" w:eastAsia="Calibri" w:hAnsi="Calibri" w:cs="Calibri"/>
          <w:lang w:val="en-GB"/>
        </w:rPr>
        <w:t>staged</w:t>
      </w:r>
      <w:r w:rsidR="25A5D085" w:rsidRPr="77BE0170">
        <w:rPr>
          <w:rFonts w:ascii="Calibri" w:eastAsia="Calibri" w:hAnsi="Calibri" w:cs="Calibri"/>
          <w:lang w:val="en-GB"/>
        </w:rPr>
        <w:t xml:space="preserve"> basis and</w:t>
      </w:r>
      <w:r w:rsidR="5199ED80" w:rsidRPr="77BE0170">
        <w:rPr>
          <w:rFonts w:ascii="Calibri" w:eastAsia="Calibri" w:hAnsi="Calibri" w:cs="Calibri"/>
          <w:lang w:val="en-GB"/>
        </w:rPr>
        <w:t xml:space="preserve">, through the NFFWS Steering Group chaired by OPW, </w:t>
      </w:r>
      <w:r w:rsidR="25A5D085" w:rsidRPr="77BE0170">
        <w:rPr>
          <w:rFonts w:ascii="Calibri" w:eastAsia="Calibri" w:hAnsi="Calibri" w:cs="Calibri"/>
          <w:lang w:val="en-GB"/>
        </w:rPr>
        <w:t>a</w:t>
      </w:r>
      <w:r w:rsidR="24A36573" w:rsidRPr="77BE0170">
        <w:rPr>
          <w:rFonts w:ascii="Calibri" w:eastAsia="Calibri" w:hAnsi="Calibri" w:cs="Calibri"/>
          <w:lang w:val="en-GB"/>
        </w:rPr>
        <w:t xml:space="preserve"> Stage 1</w:t>
      </w:r>
      <w:r w:rsidR="7F8A6A6E" w:rsidRPr="77BE0170">
        <w:rPr>
          <w:rFonts w:ascii="Calibri" w:eastAsia="Calibri" w:hAnsi="Calibri" w:cs="Calibri"/>
          <w:lang w:val="en-GB"/>
        </w:rPr>
        <w:t xml:space="preserve"> </w:t>
      </w:r>
      <w:r w:rsidR="30272AE7" w:rsidRPr="77BE0170">
        <w:rPr>
          <w:rFonts w:ascii="Calibri" w:eastAsia="Calibri" w:hAnsi="Calibri" w:cs="Calibri"/>
          <w:lang w:val="en-GB"/>
        </w:rPr>
        <w:t>Implementation</w:t>
      </w:r>
      <w:r w:rsidR="7F8A6A6E" w:rsidRPr="77BE0170">
        <w:rPr>
          <w:rFonts w:ascii="Calibri" w:eastAsia="Calibri" w:hAnsi="Calibri" w:cs="Calibri"/>
          <w:lang w:val="en-GB"/>
        </w:rPr>
        <w:t xml:space="preserve"> plan was put in place</w:t>
      </w:r>
      <w:r w:rsidR="2E5A3B69" w:rsidRPr="77BE0170">
        <w:rPr>
          <w:rFonts w:ascii="Calibri" w:eastAsia="Calibri" w:hAnsi="Calibri" w:cs="Calibri"/>
          <w:lang w:val="en-GB"/>
        </w:rPr>
        <w:t xml:space="preserve">. </w:t>
      </w:r>
      <w:r w:rsidR="60BE4FD8" w:rsidRPr="77BE0170">
        <w:rPr>
          <w:rFonts w:ascii="Calibri" w:eastAsia="Calibri" w:hAnsi="Calibri" w:cs="Calibri"/>
          <w:lang w:val="en-GB"/>
        </w:rPr>
        <w:t xml:space="preserve">This </w:t>
      </w:r>
      <w:r w:rsidR="63484AA4" w:rsidRPr="77BE0170">
        <w:rPr>
          <w:rFonts w:ascii="Calibri" w:eastAsia="Calibri" w:hAnsi="Calibri" w:cs="Calibri"/>
          <w:lang w:val="en-GB"/>
        </w:rPr>
        <w:t xml:space="preserve">plan </w:t>
      </w:r>
      <w:r w:rsidR="60BE4FD8" w:rsidRPr="77BE0170">
        <w:rPr>
          <w:rFonts w:ascii="Calibri" w:eastAsia="Calibri" w:hAnsi="Calibri" w:cs="Calibri"/>
          <w:lang w:val="en-GB"/>
        </w:rPr>
        <w:t xml:space="preserve">set out steps for the development </w:t>
      </w:r>
      <w:r w:rsidR="2F29E718" w:rsidRPr="77BE0170">
        <w:rPr>
          <w:rFonts w:ascii="Calibri" w:eastAsia="Calibri" w:hAnsi="Calibri" w:cs="Calibri"/>
          <w:lang w:val="en-GB"/>
        </w:rPr>
        <w:t>a Stage 1</w:t>
      </w:r>
      <w:r w:rsidR="7FD2EE0F" w:rsidRPr="77BE0170">
        <w:rPr>
          <w:rFonts w:ascii="Calibri" w:eastAsia="Calibri" w:hAnsi="Calibri" w:cs="Calibri"/>
          <w:lang w:val="en-GB"/>
        </w:rPr>
        <w:t xml:space="preserve"> NFFWS</w:t>
      </w:r>
      <w:r w:rsidR="60BE4FD8" w:rsidRPr="77BE0170">
        <w:rPr>
          <w:rFonts w:ascii="Calibri" w:eastAsia="Calibri" w:hAnsi="Calibri" w:cs="Calibri"/>
          <w:lang w:val="en-GB"/>
        </w:rPr>
        <w:t xml:space="preserve"> across a range of activities including </w:t>
      </w:r>
      <w:r w:rsidR="7A392C46" w:rsidRPr="77BE0170">
        <w:rPr>
          <w:rFonts w:ascii="Calibri" w:eastAsia="Calibri" w:hAnsi="Calibri" w:cs="Calibri"/>
          <w:lang w:val="en-GB"/>
        </w:rPr>
        <w:t>developing forecasting capabilities</w:t>
      </w:r>
      <w:r w:rsidR="1B30F551" w:rsidRPr="77BE0170">
        <w:rPr>
          <w:rFonts w:ascii="Calibri" w:eastAsia="Calibri" w:hAnsi="Calibri" w:cs="Calibri"/>
          <w:lang w:val="en-GB"/>
        </w:rPr>
        <w:t xml:space="preserve"> and </w:t>
      </w:r>
      <w:r w:rsidR="60BE4FD8" w:rsidRPr="77BE0170">
        <w:rPr>
          <w:rFonts w:ascii="Calibri" w:eastAsia="Calibri" w:hAnsi="Calibri" w:cs="Calibri"/>
          <w:lang w:val="en-GB"/>
        </w:rPr>
        <w:t>operational arrangements</w:t>
      </w:r>
      <w:r w:rsidR="18D7D17A" w:rsidRPr="77BE0170">
        <w:rPr>
          <w:rFonts w:ascii="Calibri" w:eastAsia="Calibri" w:hAnsi="Calibri" w:cs="Calibri"/>
          <w:lang w:val="en-GB"/>
        </w:rPr>
        <w:t>.</w:t>
      </w:r>
    </w:p>
    <w:p w14:paraId="566D057E" w14:textId="41FE42E0" w:rsidR="00953A50" w:rsidRPr="00953A50" w:rsidRDefault="78DC8A0D" w:rsidP="77BE0170">
      <w:pPr>
        <w:jc w:val="both"/>
        <w:rPr>
          <w:b/>
          <w:bCs/>
          <w:lang w:val="en-GB"/>
        </w:rPr>
      </w:pPr>
      <w:r w:rsidRPr="77BE0170">
        <w:rPr>
          <w:b/>
          <w:bCs/>
          <w:lang w:val="en-GB"/>
        </w:rPr>
        <w:t>Progress to date</w:t>
      </w:r>
    </w:p>
    <w:p w14:paraId="41145053" w14:textId="12872297" w:rsidR="7BD36B9B" w:rsidRDefault="3BD3C86D" w:rsidP="3B6A98FD">
      <w:pPr>
        <w:jc w:val="both"/>
        <w:rPr>
          <w:rFonts w:ascii="Calibri" w:eastAsia="Calibri" w:hAnsi="Calibri" w:cs="Calibri"/>
          <w:lang w:val="en-GB"/>
        </w:rPr>
      </w:pPr>
      <w:r w:rsidRPr="77BE0170">
        <w:rPr>
          <w:rFonts w:ascii="Calibri" w:eastAsia="Calibri" w:hAnsi="Calibri" w:cs="Calibri"/>
          <w:lang w:val="en-GB"/>
        </w:rPr>
        <w:t>Met Éireann’s objectives</w:t>
      </w:r>
      <w:r w:rsidR="1D2FF339" w:rsidRPr="77BE0170">
        <w:rPr>
          <w:rFonts w:ascii="Calibri" w:eastAsia="Calibri" w:hAnsi="Calibri" w:cs="Calibri"/>
          <w:lang w:val="en-GB"/>
        </w:rPr>
        <w:t xml:space="preserve"> of the Stage 1 </w:t>
      </w:r>
      <w:r w:rsidR="293A10C9" w:rsidRPr="77BE0170">
        <w:rPr>
          <w:rFonts w:ascii="Calibri" w:eastAsia="Calibri" w:hAnsi="Calibri" w:cs="Calibri"/>
          <w:lang w:val="en-GB"/>
        </w:rPr>
        <w:t>Implementation</w:t>
      </w:r>
      <w:r w:rsidR="1D2FF339" w:rsidRPr="77BE0170">
        <w:rPr>
          <w:rFonts w:ascii="Calibri" w:eastAsia="Calibri" w:hAnsi="Calibri" w:cs="Calibri"/>
          <w:lang w:val="en-GB"/>
        </w:rPr>
        <w:t xml:space="preserve"> plan have been achieved</w:t>
      </w:r>
      <w:r w:rsidR="6F632332" w:rsidRPr="77BE0170">
        <w:rPr>
          <w:rFonts w:ascii="Calibri" w:eastAsia="Calibri" w:hAnsi="Calibri" w:cs="Calibri"/>
          <w:lang w:val="en-GB"/>
        </w:rPr>
        <w:t>.</w:t>
      </w:r>
    </w:p>
    <w:p w14:paraId="0C599516" w14:textId="53E0A0BB" w:rsidR="7BD36B9B" w:rsidRDefault="0123A28B" w:rsidP="163C0F20">
      <w:pPr>
        <w:jc w:val="both"/>
        <w:rPr>
          <w:rFonts w:ascii="Calibri" w:eastAsia="Calibri" w:hAnsi="Calibri" w:cs="Calibri"/>
          <w:lang w:val="en-GB"/>
        </w:rPr>
      </w:pPr>
      <w:r w:rsidRPr="77BE0170">
        <w:rPr>
          <w:rFonts w:ascii="Calibri" w:eastAsia="Calibri" w:hAnsi="Calibri" w:cs="Calibri"/>
          <w:lang w:val="en-GB"/>
        </w:rPr>
        <w:t xml:space="preserve">Met Éireann’s </w:t>
      </w:r>
      <w:r w:rsidR="1BDF910F" w:rsidRPr="77BE0170">
        <w:rPr>
          <w:rFonts w:ascii="Calibri" w:eastAsia="Calibri" w:hAnsi="Calibri" w:cs="Calibri"/>
          <w:lang w:val="en-GB"/>
        </w:rPr>
        <w:t xml:space="preserve">FFC </w:t>
      </w:r>
      <w:r w:rsidR="039D52F6" w:rsidRPr="77BE0170">
        <w:rPr>
          <w:rFonts w:ascii="Calibri" w:eastAsia="Calibri" w:hAnsi="Calibri" w:cs="Calibri"/>
          <w:lang w:val="en-GB"/>
        </w:rPr>
        <w:t xml:space="preserve">has developed </w:t>
      </w:r>
      <w:r w:rsidR="3812ABF6" w:rsidRPr="77BE0170">
        <w:rPr>
          <w:rFonts w:ascii="Calibri" w:eastAsia="Calibri" w:hAnsi="Calibri" w:cs="Calibri"/>
          <w:lang w:val="en-GB"/>
        </w:rPr>
        <w:t>the first</w:t>
      </w:r>
      <w:r w:rsidR="039D52F6" w:rsidRPr="77BE0170">
        <w:rPr>
          <w:rFonts w:ascii="Calibri" w:eastAsia="Calibri" w:hAnsi="Calibri" w:cs="Calibri"/>
          <w:lang w:val="en-GB"/>
        </w:rPr>
        <w:t xml:space="preserve"> national scal</w:t>
      </w:r>
      <w:r w:rsidR="19598CEB" w:rsidRPr="77BE0170">
        <w:rPr>
          <w:rFonts w:ascii="Calibri" w:eastAsia="Calibri" w:hAnsi="Calibri" w:cs="Calibri"/>
          <w:lang w:val="en-GB"/>
        </w:rPr>
        <w:t>e</w:t>
      </w:r>
      <w:r w:rsidR="3487D2EF" w:rsidRPr="77BE0170">
        <w:rPr>
          <w:rFonts w:ascii="Calibri" w:eastAsia="Calibri" w:hAnsi="Calibri" w:cs="Calibri"/>
          <w:lang w:val="en-GB"/>
        </w:rPr>
        <w:t xml:space="preserve"> river forecasting model </w:t>
      </w:r>
      <w:r w:rsidR="29F26D28" w:rsidRPr="77BE0170">
        <w:rPr>
          <w:rFonts w:ascii="Calibri" w:eastAsia="Calibri" w:hAnsi="Calibri" w:cs="Calibri"/>
          <w:lang w:val="en-GB"/>
        </w:rPr>
        <w:t xml:space="preserve">for the state with </w:t>
      </w:r>
      <w:r w:rsidR="0642CBFD" w:rsidRPr="77BE0170">
        <w:rPr>
          <w:rFonts w:ascii="Calibri" w:eastAsia="Calibri" w:hAnsi="Calibri" w:cs="Calibri"/>
          <w:lang w:val="en-GB"/>
        </w:rPr>
        <w:t>capacity</w:t>
      </w:r>
      <w:r w:rsidR="29F26D28" w:rsidRPr="77BE0170">
        <w:rPr>
          <w:rFonts w:ascii="Calibri" w:eastAsia="Calibri" w:hAnsi="Calibri" w:cs="Calibri"/>
          <w:lang w:val="en-GB"/>
        </w:rPr>
        <w:t xml:space="preserve"> to model and</w:t>
      </w:r>
      <w:r w:rsidR="039D52F6" w:rsidRPr="77BE0170">
        <w:rPr>
          <w:rFonts w:ascii="Calibri" w:eastAsia="Calibri" w:hAnsi="Calibri" w:cs="Calibri"/>
          <w:lang w:val="en-GB"/>
        </w:rPr>
        <w:t xml:space="preserve"> </w:t>
      </w:r>
      <w:r w:rsidR="1BDF910F" w:rsidRPr="77BE0170">
        <w:rPr>
          <w:rFonts w:ascii="Calibri" w:eastAsia="Calibri" w:hAnsi="Calibri" w:cs="Calibri"/>
          <w:lang w:val="en-GB"/>
        </w:rPr>
        <w:t>monitor flood risk</w:t>
      </w:r>
      <w:r w:rsidR="3676584B" w:rsidRPr="77BE0170">
        <w:rPr>
          <w:rFonts w:ascii="Calibri" w:eastAsia="Calibri" w:hAnsi="Calibri" w:cs="Calibri"/>
          <w:lang w:val="en-GB"/>
        </w:rPr>
        <w:t xml:space="preserve"> across 3</w:t>
      </w:r>
      <w:r w:rsidR="6FE7D80E" w:rsidRPr="77BE0170">
        <w:rPr>
          <w:rFonts w:ascii="Calibri" w:eastAsia="Calibri" w:hAnsi="Calibri" w:cs="Calibri"/>
          <w:lang w:val="en-GB"/>
        </w:rPr>
        <w:t>6</w:t>
      </w:r>
      <w:r w:rsidR="3676584B" w:rsidRPr="77BE0170">
        <w:rPr>
          <w:rFonts w:ascii="Calibri" w:eastAsia="Calibri" w:hAnsi="Calibri" w:cs="Calibri"/>
          <w:lang w:val="en-GB"/>
        </w:rPr>
        <w:t xml:space="preserve"> River </w:t>
      </w:r>
      <w:r w:rsidR="31EC7E82" w:rsidRPr="77BE0170">
        <w:rPr>
          <w:rFonts w:ascii="Calibri" w:eastAsia="Calibri" w:hAnsi="Calibri" w:cs="Calibri"/>
          <w:lang w:val="en-GB"/>
        </w:rPr>
        <w:t>catchments</w:t>
      </w:r>
      <w:r w:rsidR="3676584B" w:rsidRPr="77BE0170">
        <w:rPr>
          <w:rFonts w:ascii="Calibri" w:eastAsia="Calibri" w:hAnsi="Calibri" w:cs="Calibri"/>
          <w:lang w:val="en-GB"/>
        </w:rPr>
        <w:t>.</w:t>
      </w:r>
      <w:r w:rsidR="2CF3DAF5" w:rsidRPr="77BE0170">
        <w:rPr>
          <w:rFonts w:ascii="Calibri" w:eastAsia="Calibri" w:hAnsi="Calibri" w:cs="Calibri"/>
          <w:lang w:val="en-GB"/>
        </w:rPr>
        <w:t xml:space="preserve"> </w:t>
      </w:r>
      <w:r w:rsidR="05EE315C" w:rsidRPr="77BE0170">
        <w:rPr>
          <w:rFonts w:ascii="Calibri" w:eastAsia="Calibri" w:hAnsi="Calibri" w:cs="Calibri"/>
          <w:lang w:val="en-GB"/>
        </w:rPr>
        <w:t>Met Éireann</w:t>
      </w:r>
      <w:r w:rsidR="2CD4982A" w:rsidRPr="77BE0170">
        <w:rPr>
          <w:rFonts w:ascii="Calibri" w:eastAsia="Calibri" w:hAnsi="Calibri" w:cs="Calibri"/>
          <w:lang w:val="en-GB"/>
        </w:rPr>
        <w:t xml:space="preserve"> successfully</w:t>
      </w:r>
      <w:r w:rsidR="05EE315C" w:rsidRPr="77BE0170">
        <w:rPr>
          <w:rFonts w:ascii="Calibri" w:eastAsia="Calibri" w:hAnsi="Calibri" w:cs="Calibri"/>
          <w:lang w:val="en-GB"/>
        </w:rPr>
        <w:t xml:space="preserve"> followed a </w:t>
      </w:r>
      <w:r w:rsidR="09EE65EC" w:rsidRPr="77BE0170">
        <w:rPr>
          <w:rFonts w:ascii="Calibri" w:eastAsia="Calibri" w:hAnsi="Calibri" w:cs="Calibri"/>
          <w:lang w:val="en-GB"/>
        </w:rPr>
        <w:t>rigorous</w:t>
      </w:r>
      <w:r w:rsidR="05EE315C" w:rsidRPr="77BE0170">
        <w:rPr>
          <w:rFonts w:ascii="Calibri" w:eastAsia="Calibri" w:hAnsi="Calibri" w:cs="Calibri"/>
          <w:lang w:val="en-GB"/>
        </w:rPr>
        <w:t xml:space="preserve"> procedure for </w:t>
      </w:r>
      <w:r w:rsidR="308C6428" w:rsidRPr="77BE0170">
        <w:rPr>
          <w:rFonts w:ascii="Calibri" w:eastAsia="Calibri" w:hAnsi="Calibri" w:cs="Calibri"/>
          <w:lang w:val="en-GB"/>
        </w:rPr>
        <w:t xml:space="preserve">selecting, </w:t>
      </w:r>
      <w:r w:rsidR="01C0AA5F" w:rsidRPr="77BE0170">
        <w:rPr>
          <w:rFonts w:ascii="Calibri" w:eastAsia="Calibri" w:hAnsi="Calibri" w:cs="Calibri"/>
          <w:lang w:val="en-GB"/>
        </w:rPr>
        <w:t>trialling</w:t>
      </w:r>
      <w:r w:rsidR="05EE315C" w:rsidRPr="77BE0170">
        <w:rPr>
          <w:rFonts w:ascii="Calibri" w:eastAsia="Calibri" w:hAnsi="Calibri" w:cs="Calibri"/>
          <w:lang w:val="en-GB"/>
        </w:rPr>
        <w:t xml:space="preserve"> and testing these models, </w:t>
      </w:r>
      <w:r w:rsidR="333B2E8E" w:rsidRPr="77BE0170">
        <w:rPr>
          <w:rFonts w:ascii="Calibri" w:eastAsia="Calibri" w:hAnsi="Calibri" w:cs="Calibri"/>
          <w:lang w:val="en-GB"/>
        </w:rPr>
        <w:t xml:space="preserve">in line with </w:t>
      </w:r>
      <w:r w:rsidR="66F19032" w:rsidRPr="77BE0170">
        <w:rPr>
          <w:rFonts w:ascii="Calibri" w:eastAsia="Calibri" w:hAnsi="Calibri" w:cs="Calibri"/>
          <w:lang w:val="en-GB"/>
        </w:rPr>
        <w:t>well-established</w:t>
      </w:r>
      <w:r w:rsidR="6194C764" w:rsidRPr="77BE0170">
        <w:rPr>
          <w:rFonts w:ascii="Calibri" w:eastAsia="Calibri" w:hAnsi="Calibri" w:cs="Calibri"/>
          <w:lang w:val="en-GB"/>
        </w:rPr>
        <w:t xml:space="preserve"> </w:t>
      </w:r>
      <w:r w:rsidR="05EE315C" w:rsidRPr="77BE0170">
        <w:rPr>
          <w:rFonts w:ascii="Calibri" w:eastAsia="Calibri" w:hAnsi="Calibri" w:cs="Calibri"/>
          <w:lang w:val="en-GB"/>
        </w:rPr>
        <w:t>international practices</w:t>
      </w:r>
      <w:r w:rsidR="2B859D37" w:rsidRPr="77BE0170">
        <w:rPr>
          <w:rFonts w:ascii="Calibri" w:eastAsia="Calibri" w:hAnsi="Calibri" w:cs="Calibri"/>
          <w:lang w:val="en-GB"/>
        </w:rPr>
        <w:t xml:space="preserve"> and standards </w:t>
      </w:r>
      <w:r w:rsidR="0212B43D" w:rsidRPr="77BE0170">
        <w:rPr>
          <w:rFonts w:ascii="Calibri" w:eastAsia="Calibri" w:hAnsi="Calibri" w:cs="Calibri"/>
          <w:lang w:val="en-GB"/>
        </w:rPr>
        <w:t>for</w:t>
      </w:r>
      <w:r w:rsidR="36F691FD" w:rsidRPr="77BE0170">
        <w:rPr>
          <w:rFonts w:ascii="Calibri" w:eastAsia="Calibri" w:hAnsi="Calibri" w:cs="Calibri"/>
          <w:lang w:val="en-GB"/>
        </w:rPr>
        <w:t xml:space="preserve"> </w:t>
      </w:r>
      <w:r w:rsidR="5BFCC4A7" w:rsidRPr="77BE0170">
        <w:rPr>
          <w:rFonts w:ascii="Calibri" w:eastAsia="Calibri" w:hAnsi="Calibri" w:cs="Calibri"/>
          <w:lang w:val="en-GB"/>
        </w:rPr>
        <w:t xml:space="preserve">national and catchment scale </w:t>
      </w:r>
      <w:r w:rsidR="2B859D37" w:rsidRPr="77BE0170">
        <w:rPr>
          <w:rFonts w:ascii="Calibri" w:eastAsia="Calibri" w:hAnsi="Calibri" w:cs="Calibri"/>
          <w:lang w:val="en-GB"/>
        </w:rPr>
        <w:t>flood forecasting</w:t>
      </w:r>
      <w:r w:rsidR="05EE315C" w:rsidRPr="77BE0170">
        <w:rPr>
          <w:rFonts w:ascii="Calibri" w:eastAsia="Calibri" w:hAnsi="Calibri" w:cs="Calibri"/>
          <w:lang w:val="en-GB"/>
        </w:rPr>
        <w:t>.</w:t>
      </w:r>
      <w:r w:rsidR="29B51DD8" w:rsidRPr="77BE0170">
        <w:rPr>
          <w:rFonts w:ascii="Calibri" w:eastAsia="Calibri" w:hAnsi="Calibri" w:cs="Calibri"/>
          <w:lang w:val="en-GB"/>
        </w:rPr>
        <w:t xml:space="preserve"> Further </w:t>
      </w:r>
      <w:r w:rsidR="7B354E40" w:rsidRPr="77BE0170">
        <w:rPr>
          <w:rFonts w:ascii="Calibri" w:eastAsia="Calibri" w:hAnsi="Calibri" w:cs="Calibri"/>
          <w:lang w:val="en-GB"/>
        </w:rPr>
        <w:t xml:space="preserve">technical </w:t>
      </w:r>
      <w:r w:rsidR="29B51DD8" w:rsidRPr="77BE0170">
        <w:rPr>
          <w:rFonts w:ascii="Calibri" w:eastAsia="Calibri" w:hAnsi="Calibri" w:cs="Calibri"/>
          <w:lang w:val="en-GB"/>
        </w:rPr>
        <w:t>details on</w:t>
      </w:r>
      <w:r w:rsidR="77D0E506" w:rsidRPr="77BE0170">
        <w:rPr>
          <w:rFonts w:ascii="Calibri" w:eastAsia="Calibri" w:hAnsi="Calibri" w:cs="Calibri"/>
          <w:lang w:val="en-GB"/>
        </w:rPr>
        <w:t xml:space="preserve"> this </w:t>
      </w:r>
      <w:r w:rsidR="1A4A10D2" w:rsidRPr="77BE0170">
        <w:rPr>
          <w:rFonts w:ascii="Calibri" w:eastAsia="Calibri" w:hAnsi="Calibri" w:cs="Calibri"/>
          <w:lang w:val="en-GB"/>
        </w:rPr>
        <w:t xml:space="preserve">river flood forecasting system </w:t>
      </w:r>
      <w:r w:rsidR="60C35ABC" w:rsidRPr="77BE0170">
        <w:rPr>
          <w:rFonts w:ascii="Calibri" w:eastAsia="Calibri" w:hAnsi="Calibri" w:cs="Calibri"/>
          <w:lang w:val="en-GB"/>
        </w:rPr>
        <w:t>are</w:t>
      </w:r>
      <w:r w:rsidR="1A4A10D2" w:rsidRPr="77BE0170">
        <w:rPr>
          <w:rFonts w:ascii="Calibri" w:eastAsia="Calibri" w:hAnsi="Calibri" w:cs="Calibri"/>
          <w:lang w:val="en-GB"/>
        </w:rPr>
        <w:t xml:space="preserve"> provided</w:t>
      </w:r>
      <w:r w:rsidR="52C8A8AE" w:rsidRPr="77BE0170">
        <w:rPr>
          <w:rFonts w:ascii="Calibri" w:eastAsia="Calibri" w:hAnsi="Calibri" w:cs="Calibri"/>
          <w:lang w:val="en-GB"/>
        </w:rPr>
        <w:t xml:space="preserve"> in A</w:t>
      </w:r>
      <w:r w:rsidR="207D4056" w:rsidRPr="77BE0170">
        <w:rPr>
          <w:rFonts w:ascii="Calibri" w:eastAsia="Calibri" w:hAnsi="Calibri" w:cs="Calibri"/>
          <w:lang w:val="en-GB"/>
        </w:rPr>
        <w:t>p</w:t>
      </w:r>
      <w:r w:rsidR="0C360E8C" w:rsidRPr="77BE0170">
        <w:rPr>
          <w:rFonts w:ascii="Calibri" w:eastAsia="Calibri" w:hAnsi="Calibri" w:cs="Calibri"/>
          <w:lang w:val="en-GB"/>
        </w:rPr>
        <w:t>p</w:t>
      </w:r>
      <w:r w:rsidR="6439200F" w:rsidRPr="77BE0170">
        <w:rPr>
          <w:rFonts w:ascii="Calibri" w:eastAsia="Calibri" w:hAnsi="Calibri" w:cs="Calibri"/>
          <w:lang w:val="en-GB"/>
        </w:rPr>
        <w:t>en</w:t>
      </w:r>
      <w:r w:rsidR="207D4056" w:rsidRPr="77BE0170">
        <w:rPr>
          <w:rFonts w:ascii="Calibri" w:eastAsia="Calibri" w:hAnsi="Calibri" w:cs="Calibri"/>
          <w:lang w:val="en-GB"/>
        </w:rPr>
        <w:t xml:space="preserve">dix </w:t>
      </w:r>
      <w:r w:rsidR="7873E398" w:rsidRPr="77BE0170">
        <w:rPr>
          <w:rFonts w:ascii="Calibri" w:eastAsia="Calibri" w:hAnsi="Calibri" w:cs="Calibri"/>
          <w:lang w:val="en-GB"/>
        </w:rPr>
        <w:t>1</w:t>
      </w:r>
      <w:r w:rsidR="762F90B3" w:rsidRPr="77BE0170">
        <w:rPr>
          <w:rFonts w:ascii="Calibri" w:eastAsia="Calibri" w:hAnsi="Calibri" w:cs="Calibri"/>
          <w:lang w:val="en-GB"/>
        </w:rPr>
        <w:t>.</w:t>
      </w:r>
    </w:p>
    <w:p w14:paraId="70EE14DA" w14:textId="6B98CCBE" w:rsidR="00953A50" w:rsidRDefault="60761523" w:rsidP="163C0F20">
      <w:pPr>
        <w:jc w:val="both"/>
        <w:rPr>
          <w:rFonts w:ascii="Calibri" w:eastAsia="Calibri" w:hAnsi="Calibri" w:cs="Calibri"/>
          <w:lang w:val="en-GB"/>
        </w:rPr>
      </w:pPr>
      <w:r w:rsidRPr="77BE0170">
        <w:rPr>
          <w:rFonts w:ascii="Calibri" w:eastAsia="Calibri" w:hAnsi="Calibri" w:cs="Calibri"/>
          <w:lang w:val="en-GB"/>
        </w:rPr>
        <w:t>Met Éireann’s FFC ha</w:t>
      </w:r>
      <w:r w:rsidR="6B797D5B" w:rsidRPr="77BE0170">
        <w:rPr>
          <w:rFonts w:ascii="Calibri" w:eastAsia="Calibri" w:hAnsi="Calibri" w:cs="Calibri"/>
          <w:lang w:val="en-GB"/>
        </w:rPr>
        <w:t>s</w:t>
      </w:r>
      <w:r w:rsidRPr="77BE0170">
        <w:rPr>
          <w:rFonts w:ascii="Calibri" w:eastAsia="Calibri" w:hAnsi="Calibri" w:cs="Calibri"/>
          <w:lang w:val="en-GB"/>
        </w:rPr>
        <w:t xml:space="preserve"> </w:t>
      </w:r>
      <w:r w:rsidR="585A7D08" w:rsidRPr="77BE0170">
        <w:rPr>
          <w:rFonts w:ascii="Calibri" w:eastAsia="Calibri" w:hAnsi="Calibri" w:cs="Calibri"/>
          <w:lang w:val="en-GB"/>
        </w:rPr>
        <w:t>also</w:t>
      </w:r>
      <w:r w:rsidRPr="77BE0170">
        <w:rPr>
          <w:rFonts w:ascii="Calibri" w:eastAsia="Calibri" w:hAnsi="Calibri" w:cs="Calibri"/>
          <w:lang w:val="en-GB"/>
        </w:rPr>
        <w:t xml:space="preserve"> </w:t>
      </w:r>
      <w:r w:rsidR="34B0FC51" w:rsidRPr="77BE0170">
        <w:rPr>
          <w:rFonts w:ascii="Calibri" w:eastAsia="Calibri" w:hAnsi="Calibri" w:cs="Calibri"/>
          <w:lang w:val="en-GB"/>
        </w:rPr>
        <w:t>assumed</w:t>
      </w:r>
      <w:r w:rsidRPr="77BE0170">
        <w:rPr>
          <w:rFonts w:ascii="Calibri" w:eastAsia="Calibri" w:hAnsi="Calibri" w:cs="Calibri"/>
          <w:lang w:val="en-GB"/>
        </w:rPr>
        <w:t xml:space="preserve"> responsibility</w:t>
      </w:r>
      <w:r w:rsidR="2B63F4FB" w:rsidRPr="77BE0170">
        <w:rPr>
          <w:rFonts w:ascii="Calibri" w:eastAsia="Calibri" w:hAnsi="Calibri" w:cs="Calibri"/>
          <w:lang w:val="en-GB"/>
        </w:rPr>
        <w:t xml:space="preserve"> </w:t>
      </w:r>
      <w:r w:rsidRPr="77BE0170">
        <w:rPr>
          <w:rFonts w:ascii="Calibri" w:eastAsia="Calibri" w:hAnsi="Calibri" w:cs="Calibri"/>
          <w:lang w:val="en-GB"/>
        </w:rPr>
        <w:t>for a</w:t>
      </w:r>
      <w:r w:rsidR="38DCCB49" w:rsidRPr="77BE0170">
        <w:rPr>
          <w:rFonts w:ascii="Calibri" w:eastAsia="Calibri" w:hAnsi="Calibri" w:cs="Calibri"/>
          <w:lang w:val="en-GB"/>
        </w:rPr>
        <w:t xml:space="preserve"> </w:t>
      </w:r>
      <w:r w:rsidR="11912BC8" w:rsidRPr="77BE0170">
        <w:rPr>
          <w:rFonts w:ascii="Calibri" w:eastAsia="Calibri" w:hAnsi="Calibri" w:cs="Calibri"/>
          <w:lang w:val="en-GB"/>
        </w:rPr>
        <w:t>Tidal and Storm Surge Forecast</w:t>
      </w:r>
      <w:r w:rsidR="22691189" w:rsidRPr="77BE0170">
        <w:rPr>
          <w:rFonts w:ascii="Calibri" w:eastAsia="Calibri" w:hAnsi="Calibri" w:cs="Calibri"/>
          <w:lang w:val="en-GB"/>
        </w:rPr>
        <w:t xml:space="preserve"> (TSSF)</w:t>
      </w:r>
      <w:r w:rsidR="11912BC8" w:rsidRPr="77BE0170">
        <w:rPr>
          <w:rFonts w:ascii="Calibri" w:eastAsia="Calibri" w:hAnsi="Calibri" w:cs="Calibri"/>
          <w:lang w:val="en-GB"/>
        </w:rPr>
        <w:t xml:space="preserve"> Service</w:t>
      </w:r>
      <w:r w:rsidR="25CA148A" w:rsidRPr="77BE0170">
        <w:rPr>
          <w:rFonts w:ascii="Calibri" w:eastAsia="Calibri" w:hAnsi="Calibri" w:cs="Calibri"/>
          <w:lang w:val="en-GB"/>
        </w:rPr>
        <w:t xml:space="preserve"> and a related coastal flooding model previously developed by OPW</w:t>
      </w:r>
      <w:r w:rsidR="7DA518B3" w:rsidRPr="77BE0170">
        <w:rPr>
          <w:rFonts w:ascii="Calibri" w:eastAsia="Calibri" w:hAnsi="Calibri" w:cs="Calibri"/>
          <w:lang w:val="en-GB"/>
        </w:rPr>
        <w:t>. This</w:t>
      </w:r>
      <w:r w:rsidR="11912BC8" w:rsidRPr="77BE0170">
        <w:rPr>
          <w:rFonts w:ascii="Calibri" w:eastAsia="Calibri" w:hAnsi="Calibri" w:cs="Calibri"/>
          <w:lang w:val="en-GB"/>
        </w:rPr>
        <w:t xml:space="preserve"> was not </w:t>
      </w:r>
      <w:r w:rsidR="0AB66794" w:rsidRPr="77BE0170">
        <w:rPr>
          <w:rFonts w:ascii="Calibri" w:eastAsia="Calibri" w:hAnsi="Calibri" w:cs="Calibri"/>
          <w:lang w:val="en-GB"/>
        </w:rPr>
        <w:t xml:space="preserve">operated as </w:t>
      </w:r>
      <w:r w:rsidR="11912BC8" w:rsidRPr="77BE0170">
        <w:rPr>
          <w:rFonts w:ascii="Calibri" w:eastAsia="Calibri" w:hAnsi="Calibri" w:cs="Calibri"/>
          <w:lang w:val="en-GB"/>
        </w:rPr>
        <w:t>an operational model</w:t>
      </w:r>
      <w:r w:rsidR="5C10AF19" w:rsidRPr="77BE0170">
        <w:rPr>
          <w:rFonts w:ascii="Calibri" w:eastAsia="Calibri" w:hAnsi="Calibri" w:cs="Calibri"/>
          <w:lang w:val="en-GB"/>
        </w:rPr>
        <w:t xml:space="preserve"> </w:t>
      </w:r>
      <w:r w:rsidR="684CF581" w:rsidRPr="77BE0170">
        <w:rPr>
          <w:rFonts w:ascii="Calibri" w:eastAsia="Calibri" w:hAnsi="Calibri" w:cs="Calibri"/>
          <w:lang w:val="en-GB"/>
        </w:rPr>
        <w:t xml:space="preserve">by OPW </w:t>
      </w:r>
      <w:r w:rsidR="5C10AF19" w:rsidRPr="77BE0170">
        <w:rPr>
          <w:rFonts w:ascii="Calibri" w:eastAsia="Calibri" w:hAnsi="Calibri" w:cs="Calibri"/>
          <w:lang w:val="en-GB"/>
        </w:rPr>
        <w:t xml:space="preserve">and required significant </w:t>
      </w:r>
      <w:r w:rsidR="4DF17C0B" w:rsidRPr="77BE0170">
        <w:rPr>
          <w:rFonts w:ascii="Calibri" w:eastAsia="Calibri" w:hAnsi="Calibri" w:cs="Calibri"/>
          <w:lang w:val="en-GB"/>
        </w:rPr>
        <w:t>evaluation</w:t>
      </w:r>
      <w:r w:rsidR="08ABD9ED" w:rsidRPr="77BE0170">
        <w:rPr>
          <w:rFonts w:ascii="Calibri" w:eastAsia="Calibri" w:hAnsi="Calibri" w:cs="Calibri"/>
          <w:lang w:val="en-GB"/>
        </w:rPr>
        <w:t xml:space="preserve"> and </w:t>
      </w:r>
      <w:r w:rsidR="2779BE0A" w:rsidRPr="77BE0170">
        <w:rPr>
          <w:rFonts w:ascii="Calibri" w:eastAsia="Calibri" w:hAnsi="Calibri" w:cs="Calibri"/>
          <w:lang w:val="en-GB"/>
        </w:rPr>
        <w:t>development work</w:t>
      </w:r>
      <w:r w:rsidR="5C10AF19" w:rsidRPr="77BE0170">
        <w:rPr>
          <w:rFonts w:ascii="Calibri" w:eastAsia="Calibri" w:hAnsi="Calibri" w:cs="Calibri"/>
          <w:lang w:val="en-GB"/>
        </w:rPr>
        <w:t xml:space="preserve"> from Met Éireann</w:t>
      </w:r>
      <w:r w:rsidR="11912BC8" w:rsidRPr="77BE0170">
        <w:rPr>
          <w:rFonts w:ascii="Calibri" w:eastAsia="Calibri" w:hAnsi="Calibri" w:cs="Calibri"/>
          <w:lang w:val="en-GB"/>
        </w:rPr>
        <w:t xml:space="preserve">. </w:t>
      </w:r>
      <w:r w:rsidR="29BF7625" w:rsidRPr="77BE0170">
        <w:rPr>
          <w:rFonts w:ascii="Calibri" w:eastAsia="Calibri" w:hAnsi="Calibri" w:cs="Calibri"/>
          <w:lang w:val="en-GB"/>
        </w:rPr>
        <w:t>Further details on this coastal</w:t>
      </w:r>
      <w:r w:rsidR="294C7268" w:rsidRPr="77BE0170">
        <w:rPr>
          <w:rFonts w:ascii="Calibri" w:eastAsia="Calibri" w:hAnsi="Calibri" w:cs="Calibri"/>
          <w:lang w:val="en-GB"/>
        </w:rPr>
        <w:t xml:space="preserve"> </w:t>
      </w:r>
      <w:r w:rsidR="29BF7625" w:rsidRPr="77BE0170">
        <w:rPr>
          <w:rFonts w:ascii="Calibri" w:eastAsia="Calibri" w:hAnsi="Calibri" w:cs="Calibri"/>
          <w:lang w:val="en-GB"/>
        </w:rPr>
        <w:t xml:space="preserve">flood forecasting system </w:t>
      </w:r>
      <w:r w:rsidR="24CB3315" w:rsidRPr="77BE0170">
        <w:rPr>
          <w:rFonts w:ascii="Calibri" w:eastAsia="Calibri" w:hAnsi="Calibri" w:cs="Calibri"/>
          <w:lang w:val="en-GB"/>
        </w:rPr>
        <w:t xml:space="preserve">are </w:t>
      </w:r>
      <w:r w:rsidR="29BF7625" w:rsidRPr="77BE0170">
        <w:rPr>
          <w:rFonts w:ascii="Calibri" w:eastAsia="Calibri" w:hAnsi="Calibri" w:cs="Calibri"/>
          <w:lang w:val="en-GB"/>
        </w:rPr>
        <w:t xml:space="preserve">provided in Appendix </w:t>
      </w:r>
      <w:r w:rsidR="7EDA79FC" w:rsidRPr="77BE0170">
        <w:rPr>
          <w:rFonts w:ascii="Calibri" w:eastAsia="Calibri" w:hAnsi="Calibri" w:cs="Calibri"/>
          <w:lang w:val="en-GB"/>
        </w:rPr>
        <w:t>2</w:t>
      </w:r>
      <w:r w:rsidR="29BF7625" w:rsidRPr="77BE0170">
        <w:rPr>
          <w:rFonts w:ascii="Calibri" w:eastAsia="Calibri" w:hAnsi="Calibri" w:cs="Calibri"/>
          <w:lang w:val="en-GB"/>
        </w:rPr>
        <w:t>.</w:t>
      </w:r>
    </w:p>
    <w:p w14:paraId="37A8D8BF" w14:textId="7CE1D6A1" w:rsidR="00953A50" w:rsidRDefault="29BF7625" w:rsidP="77BE0170">
      <w:pPr>
        <w:jc w:val="both"/>
        <w:rPr>
          <w:rStyle w:val="normaltextrun"/>
          <w:rFonts w:ascii="Calibri" w:hAnsi="Calibri" w:cs="Calibri"/>
          <w:lang w:val="en-GB"/>
        </w:rPr>
      </w:pPr>
      <w:r w:rsidRPr="3B6A98FD">
        <w:rPr>
          <w:rFonts w:ascii="Calibri" w:eastAsia="Calibri" w:hAnsi="Calibri" w:cs="Calibri"/>
          <w:lang w:val="en-GB"/>
        </w:rPr>
        <w:t xml:space="preserve">Met Éireann’s FFC have also carried out </w:t>
      </w:r>
      <w:r w:rsidR="2E8737A7" w:rsidRPr="3B6A98FD">
        <w:rPr>
          <w:rFonts w:ascii="Calibri" w:eastAsia="Calibri" w:hAnsi="Calibri" w:cs="Calibri"/>
          <w:lang w:val="en-GB"/>
        </w:rPr>
        <w:t xml:space="preserve">extensive engagement with identified priority stakeholders; </w:t>
      </w:r>
      <w:r w:rsidR="2E8737A7" w:rsidRPr="3B6A98FD">
        <w:rPr>
          <w:lang w:val="en-GB"/>
        </w:rPr>
        <w:t xml:space="preserve">the </w:t>
      </w:r>
      <w:r w:rsidR="2E8737A7" w:rsidRPr="3B6A98FD">
        <w:rPr>
          <w:rFonts w:ascii="Calibri" w:eastAsia="Calibri" w:hAnsi="Calibri" w:cs="Calibri"/>
        </w:rPr>
        <w:t>Local Authorities, Emergency Services, OPW and the National Directorate for Fire and Emergency Management (NDFEM)</w:t>
      </w:r>
      <w:r w:rsidR="551C2C2F" w:rsidRPr="3B6A98FD">
        <w:rPr>
          <w:rFonts w:ascii="Calibri" w:eastAsia="Calibri" w:hAnsi="Calibri" w:cs="Calibri"/>
        </w:rPr>
        <w:t>,</w:t>
      </w:r>
      <w:r w:rsidR="2E8737A7" w:rsidRPr="3B6A98FD">
        <w:rPr>
          <w:rFonts w:ascii="Calibri" w:eastAsia="Calibri" w:hAnsi="Calibri" w:cs="Calibri"/>
        </w:rPr>
        <w:t xml:space="preserve"> to develop and test </w:t>
      </w:r>
      <w:r w:rsidR="0DD9AA40" w:rsidRPr="3B6A98FD">
        <w:rPr>
          <w:rFonts w:ascii="Calibri" w:eastAsia="Calibri" w:hAnsi="Calibri" w:cs="Calibri"/>
        </w:rPr>
        <w:t xml:space="preserve">suitable flood </w:t>
      </w:r>
      <w:r w:rsidR="0C125AA1" w:rsidRPr="163C0F20">
        <w:rPr>
          <w:rFonts w:ascii="Calibri" w:eastAsia="Calibri" w:hAnsi="Calibri" w:cs="Calibri"/>
          <w:lang w:val="en-GB"/>
        </w:rPr>
        <w:t xml:space="preserve">guidance </w:t>
      </w:r>
      <w:r w:rsidR="0DD9AA40" w:rsidRPr="3B6A98FD">
        <w:rPr>
          <w:rFonts w:ascii="Calibri" w:eastAsia="Calibri" w:hAnsi="Calibri" w:cs="Calibri"/>
        </w:rPr>
        <w:t>and advisory services and products. Met Éireann have established a network of Severe Weather Liaison Managers across all local authorities and</w:t>
      </w:r>
      <w:r w:rsidR="403594CB" w:rsidRPr="3B6A98FD">
        <w:rPr>
          <w:rFonts w:ascii="Calibri" w:eastAsia="Calibri" w:hAnsi="Calibri" w:cs="Calibri"/>
        </w:rPr>
        <w:t xml:space="preserve"> held training and engagement events focused on the development of flood </w:t>
      </w:r>
      <w:r w:rsidR="5B82C293" w:rsidRPr="3B6A98FD">
        <w:rPr>
          <w:rFonts w:ascii="Calibri" w:eastAsia="Calibri" w:hAnsi="Calibri" w:cs="Calibri"/>
        </w:rPr>
        <w:t>guidance</w:t>
      </w:r>
      <w:r w:rsidR="403594CB" w:rsidRPr="3B6A98FD">
        <w:rPr>
          <w:rFonts w:ascii="Calibri" w:eastAsia="Calibri" w:hAnsi="Calibri" w:cs="Calibri"/>
        </w:rPr>
        <w:t xml:space="preserve"> and advisory services. </w:t>
      </w:r>
      <w:r w:rsidR="0E67F883" w:rsidRPr="3B6A98FD">
        <w:rPr>
          <w:rFonts w:ascii="Calibri" w:eastAsia="Calibri" w:hAnsi="Calibri" w:cs="Calibri"/>
        </w:rPr>
        <w:t xml:space="preserve">During the </w:t>
      </w:r>
      <w:r w:rsidR="3921E928" w:rsidRPr="3B6A98FD">
        <w:rPr>
          <w:rFonts w:ascii="Calibri" w:eastAsia="Calibri" w:hAnsi="Calibri" w:cs="Calibri"/>
        </w:rPr>
        <w:t>period Q</w:t>
      </w:r>
      <w:r w:rsidR="24C5C4A7" w:rsidRPr="3B6A98FD">
        <w:rPr>
          <w:rFonts w:ascii="Calibri" w:eastAsia="Calibri" w:hAnsi="Calibri" w:cs="Calibri"/>
        </w:rPr>
        <w:t xml:space="preserve">4 </w:t>
      </w:r>
      <w:r w:rsidR="727F0EC9" w:rsidRPr="3B6A98FD">
        <w:rPr>
          <w:rFonts w:ascii="Calibri" w:eastAsia="Calibri" w:hAnsi="Calibri" w:cs="Calibri"/>
        </w:rPr>
        <w:t>202</w:t>
      </w:r>
      <w:r w:rsidR="4D2E8106" w:rsidRPr="3B6A98FD">
        <w:rPr>
          <w:rFonts w:ascii="Calibri" w:eastAsia="Calibri" w:hAnsi="Calibri" w:cs="Calibri"/>
        </w:rPr>
        <w:t>1</w:t>
      </w:r>
      <w:r w:rsidR="2A545ECA" w:rsidRPr="3B6A98FD">
        <w:rPr>
          <w:rFonts w:ascii="Calibri" w:eastAsia="Calibri" w:hAnsi="Calibri" w:cs="Calibri"/>
        </w:rPr>
        <w:t xml:space="preserve"> </w:t>
      </w:r>
      <w:r w:rsidR="727F0EC9" w:rsidRPr="3B6A98FD">
        <w:rPr>
          <w:rFonts w:ascii="Calibri" w:eastAsia="Calibri" w:hAnsi="Calibri" w:cs="Calibri"/>
        </w:rPr>
        <w:t>-</w:t>
      </w:r>
      <w:r w:rsidR="5B1E099C" w:rsidRPr="3B6A98FD">
        <w:rPr>
          <w:rFonts w:ascii="Calibri" w:eastAsia="Calibri" w:hAnsi="Calibri" w:cs="Calibri"/>
        </w:rPr>
        <w:t xml:space="preserve"> Q</w:t>
      </w:r>
      <w:r w:rsidR="06B34C19" w:rsidRPr="3B6A98FD">
        <w:rPr>
          <w:rFonts w:ascii="Calibri" w:eastAsia="Calibri" w:hAnsi="Calibri" w:cs="Calibri"/>
        </w:rPr>
        <w:t>3</w:t>
      </w:r>
      <w:r w:rsidR="5B1E099C" w:rsidRPr="3B6A98FD">
        <w:rPr>
          <w:rFonts w:ascii="Calibri" w:eastAsia="Calibri" w:hAnsi="Calibri" w:cs="Calibri"/>
        </w:rPr>
        <w:t xml:space="preserve"> </w:t>
      </w:r>
      <w:r w:rsidR="727F0EC9" w:rsidRPr="3B6A98FD">
        <w:rPr>
          <w:rFonts w:ascii="Calibri" w:eastAsia="Calibri" w:hAnsi="Calibri" w:cs="Calibri"/>
        </w:rPr>
        <w:t xml:space="preserve">2023 </w:t>
      </w:r>
      <w:r w:rsidR="3718C8CA" w:rsidRPr="0B5854AD">
        <w:rPr>
          <w:rStyle w:val="normaltextrun"/>
          <w:rFonts w:ascii="Calibri" w:hAnsi="Calibri" w:cs="Calibri"/>
          <w:shd w:val="clear" w:color="auto" w:fill="FFFFFF"/>
          <w:lang w:val="en-GB"/>
        </w:rPr>
        <w:t xml:space="preserve">the FFC has undertaken a trial provision of services to priority stakeholders and </w:t>
      </w:r>
      <w:r w:rsidR="3D7F5F2E" w:rsidRPr="0B5854AD">
        <w:rPr>
          <w:rStyle w:val="normaltextrun"/>
          <w:rFonts w:ascii="Calibri" w:hAnsi="Calibri" w:cs="Calibri"/>
          <w:shd w:val="clear" w:color="auto" w:fill="FFFFFF"/>
          <w:lang w:val="en-GB"/>
        </w:rPr>
        <w:t xml:space="preserve">continued with stakeholder training and feedback sessions. </w:t>
      </w:r>
    </w:p>
    <w:p w14:paraId="56379F88" w14:textId="7CAAD247" w:rsidR="41AB55A1" w:rsidRDefault="78DC8A0D" w:rsidP="77BE0170">
      <w:pPr>
        <w:jc w:val="both"/>
        <w:rPr>
          <w:lang w:val="en-GB"/>
        </w:rPr>
      </w:pPr>
      <w:r w:rsidRPr="77BE0170">
        <w:rPr>
          <w:b/>
          <w:bCs/>
          <w:lang w:val="en-GB"/>
        </w:rPr>
        <w:t xml:space="preserve">Scope of planned </w:t>
      </w:r>
      <w:r w:rsidR="4E43F473" w:rsidRPr="77BE0170">
        <w:rPr>
          <w:b/>
          <w:bCs/>
          <w:lang w:val="en-GB"/>
        </w:rPr>
        <w:t>pre-</w:t>
      </w:r>
      <w:r w:rsidRPr="77BE0170">
        <w:rPr>
          <w:b/>
          <w:bCs/>
          <w:lang w:val="en-GB"/>
        </w:rPr>
        <w:t>operation</w:t>
      </w:r>
      <w:r w:rsidR="42EA3AF3" w:rsidRPr="77BE0170">
        <w:rPr>
          <w:b/>
          <w:bCs/>
          <w:lang w:val="en-GB"/>
        </w:rPr>
        <w:t>al phase</w:t>
      </w:r>
    </w:p>
    <w:p w14:paraId="5FD0BDEB" w14:textId="5494C34F" w:rsidR="41AB55A1" w:rsidRDefault="77BE0170" w:rsidP="77BE0170">
      <w:pPr>
        <w:jc w:val="both"/>
        <w:rPr>
          <w:lang w:val="en-GB"/>
        </w:rPr>
      </w:pPr>
      <w:r w:rsidRPr="77BE0170">
        <w:rPr>
          <w:rStyle w:val="normaltextrun"/>
          <w:rFonts w:ascii="Calibri" w:hAnsi="Calibri" w:cs="Calibri"/>
          <w:lang w:val="en-GB"/>
        </w:rPr>
        <w:t>Met Éireann has developed a service plan to ensure sufficiently resilient staffing arrangements to support an operational phase of the FFC</w:t>
      </w:r>
      <w:r w:rsidR="019A521C" w:rsidRPr="77BE0170">
        <w:rPr>
          <w:rStyle w:val="normaltextrun"/>
          <w:rFonts w:ascii="Calibri" w:hAnsi="Calibri" w:cs="Calibri"/>
          <w:lang w:val="en-GB"/>
        </w:rPr>
        <w:t>.</w:t>
      </w:r>
      <w:r w:rsidRPr="77BE0170">
        <w:rPr>
          <w:rStyle w:val="normaltextrun"/>
          <w:rFonts w:ascii="Calibri" w:hAnsi="Calibri" w:cs="Calibri"/>
          <w:lang w:val="en-GB"/>
        </w:rPr>
        <w:t xml:space="preserve"> </w:t>
      </w:r>
      <w:r w:rsidR="51081503" w:rsidRPr="77BE0170">
        <w:rPr>
          <w:rStyle w:val="normaltextrun"/>
          <w:rFonts w:ascii="Calibri" w:hAnsi="Calibri" w:cs="Calibri"/>
          <w:lang w:val="en-GB"/>
        </w:rPr>
        <w:t>D</w:t>
      </w:r>
      <w:r w:rsidRPr="77BE0170">
        <w:rPr>
          <w:rStyle w:val="normaltextrun"/>
          <w:rFonts w:ascii="Calibri" w:hAnsi="Calibri" w:cs="Calibri"/>
          <w:lang w:val="en-GB"/>
        </w:rPr>
        <w:t xml:space="preserve">uring the pre-operational phase </w:t>
      </w:r>
      <w:r w:rsidR="57C6D435" w:rsidRPr="77BE0170">
        <w:rPr>
          <w:rStyle w:val="normaltextrun"/>
          <w:rFonts w:ascii="Calibri" w:hAnsi="Calibri" w:cs="Calibri"/>
          <w:lang w:val="en-GB"/>
        </w:rPr>
        <w:t xml:space="preserve">Met Éireann </w:t>
      </w:r>
      <w:r w:rsidRPr="77BE0170">
        <w:rPr>
          <w:rStyle w:val="normaltextrun"/>
          <w:rFonts w:ascii="Calibri" w:hAnsi="Calibri" w:cs="Calibri"/>
          <w:lang w:val="en-GB"/>
        </w:rPr>
        <w:t>will progress consultations with staff and unions to support the move to an operational phase.</w:t>
      </w:r>
      <w:r w:rsidR="0F984E79" w:rsidRPr="77BE0170">
        <w:rPr>
          <w:rStyle w:val="normaltextrun"/>
          <w:rFonts w:ascii="Calibri" w:hAnsi="Calibri" w:cs="Calibri"/>
          <w:lang w:val="en-GB"/>
        </w:rPr>
        <w:t xml:space="preserve"> </w:t>
      </w:r>
    </w:p>
    <w:p w14:paraId="162B27E8" w14:textId="08F7BA87" w:rsidR="77BE0170" w:rsidRDefault="40B83778" w:rsidP="77BE0170">
      <w:pPr>
        <w:jc w:val="both"/>
        <w:rPr>
          <w:lang w:val="en-GB"/>
        </w:rPr>
      </w:pPr>
      <w:r w:rsidRPr="77BE0170">
        <w:rPr>
          <w:lang w:val="en-GB"/>
        </w:rPr>
        <w:lastRenderedPageBreak/>
        <w:t xml:space="preserve">During this </w:t>
      </w:r>
      <w:r w:rsidR="7F68FACE" w:rsidRPr="77BE0170">
        <w:rPr>
          <w:lang w:val="en-GB"/>
        </w:rPr>
        <w:t xml:space="preserve">pre-operational </w:t>
      </w:r>
      <w:r w:rsidR="322BD178" w:rsidRPr="77BE0170">
        <w:rPr>
          <w:lang w:val="en-GB"/>
        </w:rPr>
        <w:t xml:space="preserve">phase </w:t>
      </w:r>
      <w:r w:rsidR="7F68FACE" w:rsidRPr="77BE0170">
        <w:rPr>
          <w:lang w:val="en-GB"/>
        </w:rPr>
        <w:t xml:space="preserve">and </w:t>
      </w:r>
      <w:r w:rsidR="33F63CA7" w:rsidRPr="77BE0170">
        <w:rPr>
          <w:lang w:val="en-GB"/>
        </w:rPr>
        <w:t xml:space="preserve">continuing for the </w:t>
      </w:r>
      <w:r w:rsidR="7F68FACE" w:rsidRPr="77BE0170">
        <w:rPr>
          <w:lang w:val="en-GB"/>
        </w:rPr>
        <w:t xml:space="preserve">operational phases </w:t>
      </w:r>
      <w:r w:rsidRPr="77BE0170">
        <w:rPr>
          <w:lang w:val="en-GB"/>
        </w:rPr>
        <w:t xml:space="preserve"> the FFC will</w:t>
      </w:r>
      <w:r w:rsidR="1D85EFA3" w:rsidRPr="77BE0170">
        <w:rPr>
          <w:lang w:val="en-GB"/>
        </w:rPr>
        <w:t xml:space="preserve"> </w:t>
      </w:r>
      <w:r w:rsidR="333FC115" w:rsidRPr="77BE0170">
        <w:rPr>
          <w:lang w:val="en-GB"/>
        </w:rPr>
        <w:t xml:space="preserve">maintain and </w:t>
      </w:r>
      <w:r w:rsidR="59CFB2BE" w:rsidRPr="77BE0170">
        <w:rPr>
          <w:lang w:val="en-GB"/>
        </w:rPr>
        <w:t xml:space="preserve">operate </w:t>
      </w:r>
      <w:r w:rsidR="7F5C7E9F" w:rsidRPr="77BE0170">
        <w:rPr>
          <w:lang w:val="en-GB"/>
        </w:rPr>
        <w:t>r</w:t>
      </w:r>
      <w:r w:rsidR="59CFB2BE" w:rsidRPr="77BE0170">
        <w:rPr>
          <w:lang w:val="en-GB"/>
        </w:rPr>
        <w:t>iver and coastal modelling systems and a flood information portal</w:t>
      </w:r>
      <w:r w:rsidR="2F8BF32C" w:rsidRPr="77BE0170">
        <w:rPr>
          <w:lang w:val="en-GB"/>
        </w:rPr>
        <w:t>.</w:t>
      </w:r>
      <w:r w:rsidR="59CFB2BE" w:rsidRPr="77BE0170">
        <w:rPr>
          <w:lang w:val="en-GB"/>
        </w:rPr>
        <w:t xml:space="preserve"> </w:t>
      </w:r>
      <w:r w:rsidR="30898B78" w:rsidRPr="77BE0170">
        <w:rPr>
          <w:lang w:val="en-GB"/>
        </w:rPr>
        <w:t>The FFC will issue</w:t>
      </w:r>
      <w:r w:rsidR="1D85EFA3" w:rsidRPr="77BE0170">
        <w:rPr>
          <w:lang w:val="en-GB"/>
        </w:rPr>
        <w:t xml:space="preserve"> Daily Flood Guidance Statements</w:t>
      </w:r>
      <w:r w:rsidR="3A5DF57C" w:rsidRPr="77BE0170">
        <w:rPr>
          <w:lang w:val="en-GB"/>
        </w:rPr>
        <w:t xml:space="preserve">, an example </w:t>
      </w:r>
      <w:r w:rsidR="7C1A5801" w:rsidRPr="77BE0170">
        <w:rPr>
          <w:lang w:val="en-GB"/>
        </w:rPr>
        <w:t xml:space="preserve">of which </w:t>
      </w:r>
      <w:r w:rsidR="3A5DF57C" w:rsidRPr="77BE0170">
        <w:rPr>
          <w:lang w:val="en-GB"/>
        </w:rPr>
        <w:t xml:space="preserve">is provided in </w:t>
      </w:r>
      <w:r w:rsidR="117187B6" w:rsidRPr="77BE0170">
        <w:rPr>
          <w:lang w:val="en-GB"/>
        </w:rPr>
        <w:t>Figure 1</w:t>
      </w:r>
      <w:r w:rsidR="7B776B4F" w:rsidRPr="77BE0170">
        <w:rPr>
          <w:lang w:val="en-GB"/>
        </w:rPr>
        <w:t xml:space="preserve"> below</w:t>
      </w:r>
      <w:r w:rsidR="3CFFCC30" w:rsidRPr="77BE0170">
        <w:rPr>
          <w:lang w:val="en-GB"/>
        </w:rPr>
        <w:t>,</w:t>
      </w:r>
      <w:r w:rsidR="117187B6" w:rsidRPr="77BE0170">
        <w:rPr>
          <w:lang w:val="en-GB"/>
        </w:rPr>
        <w:t xml:space="preserve"> </w:t>
      </w:r>
      <w:r w:rsidR="41AB55A1" w:rsidRPr="77BE0170">
        <w:rPr>
          <w:lang w:val="en-GB"/>
        </w:rPr>
        <w:t xml:space="preserve">to </w:t>
      </w:r>
      <w:r w:rsidR="4E43D6B9" w:rsidRPr="77BE0170">
        <w:rPr>
          <w:lang w:val="en-GB"/>
        </w:rPr>
        <w:t xml:space="preserve">the </w:t>
      </w:r>
      <w:r w:rsidR="4E43D6B9" w:rsidRPr="77BE0170">
        <w:rPr>
          <w:rFonts w:ascii="Calibri" w:eastAsia="Calibri" w:hAnsi="Calibri" w:cs="Calibri"/>
        </w:rPr>
        <w:t>Local Authorities, Emergency Services, O</w:t>
      </w:r>
      <w:r w:rsidR="3BBC3FAD" w:rsidRPr="77BE0170">
        <w:rPr>
          <w:rFonts w:ascii="Calibri" w:eastAsia="Calibri" w:hAnsi="Calibri" w:cs="Calibri"/>
        </w:rPr>
        <w:t>PW</w:t>
      </w:r>
      <w:r w:rsidR="4E43D6B9" w:rsidRPr="77BE0170">
        <w:rPr>
          <w:rFonts w:ascii="Calibri" w:eastAsia="Calibri" w:hAnsi="Calibri" w:cs="Calibri"/>
        </w:rPr>
        <w:t xml:space="preserve"> and the National Directorate for Fire and Emergency Management</w:t>
      </w:r>
      <w:r w:rsidR="7510D4EB" w:rsidRPr="77BE0170">
        <w:rPr>
          <w:rFonts w:ascii="Calibri" w:eastAsia="Calibri" w:hAnsi="Calibri" w:cs="Calibri"/>
        </w:rPr>
        <w:t>. Additionally</w:t>
      </w:r>
      <w:r w:rsidR="56B5B1AD" w:rsidRPr="77BE0170">
        <w:rPr>
          <w:rFonts w:ascii="Calibri" w:eastAsia="Calibri" w:hAnsi="Calibri" w:cs="Calibri"/>
        </w:rPr>
        <w:t>,</w:t>
      </w:r>
      <w:r w:rsidR="4E43D6B9" w:rsidRPr="77BE0170">
        <w:rPr>
          <w:rFonts w:ascii="Calibri" w:eastAsia="Calibri" w:hAnsi="Calibri" w:cs="Calibri"/>
        </w:rPr>
        <w:t xml:space="preserve"> </w:t>
      </w:r>
      <w:r w:rsidR="1D85EFA3" w:rsidRPr="77BE0170">
        <w:rPr>
          <w:lang w:val="en-GB"/>
        </w:rPr>
        <w:t xml:space="preserve">when </w:t>
      </w:r>
      <w:r w:rsidR="1A3D1910" w:rsidRPr="77BE0170">
        <w:rPr>
          <w:lang w:val="en-GB"/>
        </w:rPr>
        <w:t>conditions require it</w:t>
      </w:r>
      <w:r w:rsidR="22433FE0" w:rsidRPr="77BE0170">
        <w:rPr>
          <w:lang w:val="en-GB"/>
        </w:rPr>
        <w:t>,</w:t>
      </w:r>
      <w:r w:rsidR="1A3D1910" w:rsidRPr="77BE0170">
        <w:rPr>
          <w:lang w:val="en-GB"/>
        </w:rPr>
        <w:t xml:space="preserve"> </w:t>
      </w:r>
      <w:r w:rsidR="2AFF4777" w:rsidRPr="77BE0170">
        <w:rPr>
          <w:lang w:val="en-GB"/>
        </w:rPr>
        <w:t xml:space="preserve">a </w:t>
      </w:r>
      <w:r w:rsidR="41AB55A1" w:rsidRPr="77BE0170">
        <w:rPr>
          <w:lang w:val="en-GB"/>
        </w:rPr>
        <w:t xml:space="preserve">River Flood Advisory </w:t>
      </w:r>
      <w:r w:rsidR="1CB2106F" w:rsidRPr="77BE0170">
        <w:rPr>
          <w:lang w:val="en-GB"/>
        </w:rPr>
        <w:t>or</w:t>
      </w:r>
      <w:r w:rsidR="41AB55A1" w:rsidRPr="77BE0170">
        <w:rPr>
          <w:lang w:val="en-GB"/>
        </w:rPr>
        <w:t xml:space="preserve"> </w:t>
      </w:r>
      <w:r w:rsidR="1086A9A2" w:rsidRPr="77BE0170">
        <w:rPr>
          <w:lang w:val="en-GB"/>
        </w:rPr>
        <w:t xml:space="preserve">a </w:t>
      </w:r>
      <w:r w:rsidR="41AB55A1" w:rsidRPr="77BE0170">
        <w:rPr>
          <w:lang w:val="en-GB"/>
        </w:rPr>
        <w:t xml:space="preserve">High Tide Advisory </w:t>
      </w:r>
      <w:r w:rsidR="2EFDDD5C" w:rsidRPr="77BE0170">
        <w:rPr>
          <w:lang w:val="en-GB"/>
        </w:rPr>
        <w:t>may be</w:t>
      </w:r>
      <w:r w:rsidR="41AB55A1" w:rsidRPr="77BE0170">
        <w:rPr>
          <w:lang w:val="en-GB"/>
        </w:rPr>
        <w:t xml:space="preserve"> issued.</w:t>
      </w:r>
      <w:r w:rsidR="2BB9D4AB" w:rsidRPr="77BE0170">
        <w:rPr>
          <w:lang w:val="en-GB"/>
        </w:rPr>
        <w:t xml:space="preserve"> </w:t>
      </w:r>
      <w:r w:rsidR="555F73B0" w:rsidRPr="77BE0170">
        <w:rPr>
          <w:lang w:val="en-GB"/>
        </w:rPr>
        <w:t xml:space="preserve">More detailed </w:t>
      </w:r>
      <w:r w:rsidR="4282E741" w:rsidRPr="77BE0170">
        <w:rPr>
          <w:lang w:val="en-GB"/>
        </w:rPr>
        <w:t>information</w:t>
      </w:r>
      <w:r w:rsidR="555F73B0" w:rsidRPr="77BE0170">
        <w:rPr>
          <w:lang w:val="en-GB"/>
        </w:rPr>
        <w:t xml:space="preserve"> on the </w:t>
      </w:r>
      <w:r w:rsidR="50840E6E" w:rsidRPr="77BE0170">
        <w:rPr>
          <w:lang w:val="en-GB"/>
        </w:rPr>
        <w:t xml:space="preserve">services which the FFC will provide </w:t>
      </w:r>
      <w:r w:rsidR="2C4801FB" w:rsidRPr="77BE0170">
        <w:rPr>
          <w:lang w:val="en-GB"/>
        </w:rPr>
        <w:t xml:space="preserve">are </w:t>
      </w:r>
      <w:r w:rsidR="50840E6E" w:rsidRPr="77BE0170">
        <w:rPr>
          <w:lang w:val="en-GB"/>
        </w:rPr>
        <w:t xml:space="preserve">outlined in </w:t>
      </w:r>
      <w:r w:rsidR="5630963A" w:rsidRPr="77BE0170">
        <w:rPr>
          <w:lang w:val="en-GB"/>
        </w:rPr>
        <w:t xml:space="preserve">a Statement of Services provided in </w:t>
      </w:r>
      <w:r w:rsidR="50840E6E" w:rsidRPr="77BE0170">
        <w:rPr>
          <w:lang w:val="en-GB"/>
        </w:rPr>
        <w:t>Appendix 3.</w:t>
      </w:r>
    </w:p>
    <w:p w14:paraId="352C4570" w14:textId="16B8C730" w:rsidR="720ED423" w:rsidRDefault="720ED423" w:rsidP="3B6A98FD">
      <w:pPr>
        <w:jc w:val="both"/>
        <w:rPr>
          <w:b/>
          <w:bCs/>
          <w:lang w:val="en-GB"/>
        </w:rPr>
      </w:pPr>
      <w:r w:rsidRPr="77BE0170">
        <w:rPr>
          <w:b/>
          <w:bCs/>
          <w:lang w:val="en-GB"/>
        </w:rPr>
        <w:t>Further Development Plans</w:t>
      </w:r>
    </w:p>
    <w:p w14:paraId="5B65B237" w14:textId="7A85971C" w:rsidR="720ED423" w:rsidRDefault="54E03B8E" w:rsidP="77BE0170">
      <w:pPr>
        <w:jc w:val="both"/>
        <w:rPr>
          <w:rFonts w:eastAsiaTheme="minorEastAsia"/>
          <w:lang w:val="en-US"/>
        </w:rPr>
      </w:pPr>
      <w:r w:rsidRPr="77BE0170">
        <w:rPr>
          <w:rFonts w:eastAsiaTheme="minorEastAsia"/>
          <w:lang w:val="en-GB"/>
        </w:rPr>
        <w:t>Whilst the</w:t>
      </w:r>
      <w:r w:rsidR="4101B759" w:rsidRPr="77BE0170">
        <w:rPr>
          <w:rFonts w:eastAsiaTheme="minorEastAsia"/>
          <w:lang w:val="en-GB"/>
        </w:rPr>
        <w:t xml:space="preserve"> FFC’s</w:t>
      </w:r>
      <w:r w:rsidRPr="77BE0170">
        <w:rPr>
          <w:rFonts w:eastAsiaTheme="minorEastAsia"/>
          <w:lang w:val="en-GB"/>
        </w:rPr>
        <w:t xml:space="preserve"> forecast models have been developed </w:t>
      </w:r>
      <w:r w:rsidR="27E9B381" w:rsidRPr="77BE0170">
        <w:rPr>
          <w:rFonts w:eastAsiaTheme="minorEastAsia"/>
          <w:lang w:val="en-GB"/>
        </w:rPr>
        <w:t>and trialled in line with best international practice and standards</w:t>
      </w:r>
      <w:r w:rsidRPr="77BE0170">
        <w:rPr>
          <w:rFonts w:eastAsiaTheme="minorEastAsia"/>
          <w:lang w:val="en-GB"/>
        </w:rPr>
        <w:t xml:space="preserve">, they have </w:t>
      </w:r>
      <w:r w:rsidR="2773BA79" w:rsidRPr="77BE0170">
        <w:rPr>
          <w:rFonts w:eastAsiaTheme="minorEastAsia"/>
          <w:lang w:val="en-GB"/>
        </w:rPr>
        <w:t>several</w:t>
      </w:r>
      <w:r w:rsidR="66E533AF" w:rsidRPr="77BE0170">
        <w:rPr>
          <w:rFonts w:eastAsiaTheme="minorEastAsia"/>
          <w:lang w:val="en-GB"/>
        </w:rPr>
        <w:t xml:space="preserve"> limitations</w:t>
      </w:r>
      <w:r w:rsidR="685D94D4" w:rsidRPr="77BE0170">
        <w:rPr>
          <w:rFonts w:eastAsiaTheme="minorEastAsia"/>
          <w:lang w:val="en-GB"/>
        </w:rPr>
        <w:t>.</w:t>
      </w:r>
      <w:r w:rsidR="66E533AF" w:rsidRPr="77BE0170">
        <w:rPr>
          <w:rFonts w:eastAsiaTheme="minorEastAsia"/>
          <w:lang w:val="en-GB"/>
        </w:rPr>
        <w:t xml:space="preserve"> </w:t>
      </w:r>
      <w:r w:rsidR="4FC70DAA" w:rsidRPr="77BE0170">
        <w:rPr>
          <w:rFonts w:eastAsiaTheme="minorEastAsia"/>
          <w:lang w:val="en-US"/>
        </w:rPr>
        <w:t xml:space="preserve"> For example, while the river models </w:t>
      </w:r>
      <w:r w:rsidR="4FC70DAA" w:rsidRPr="77BE0170">
        <w:rPr>
          <w:rFonts w:eastAsiaTheme="minorEastAsia"/>
          <w:lang w:val="en-GB"/>
        </w:rPr>
        <w:t xml:space="preserve">were </w:t>
      </w:r>
      <w:r w:rsidR="4FC70DAA" w:rsidRPr="77BE0170">
        <w:rPr>
          <w:rFonts w:eastAsiaTheme="minorEastAsia"/>
          <w:lang w:val="en-US"/>
        </w:rPr>
        <w:t xml:space="preserve">found to be very accurate for a number of locations when trialed, the quality of river level observation records and the lack of river level </w:t>
      </w:r>
      <w:r w:rsidR="4FC70DAA" w:rsidRPr="77BE0170">
        <w:rPr>
          <w:rFonts w:eastAsiaTheme="minorEastAsia"/>
          <w:lang w:val="en-GB"/>
        </w:rPr>
        <w:t>observations for</w:t>
      </w:r>
      <w:r w:rsidR="4FC70DAA" w:rsidRPr="77BE0170">
        <w:rPr>
          <w:rFonts w:eastAsiaTheme="minorEastAsia"/>
          <w:lang w:val="en-US"/>
        </w:rPr>
        <w:t xml:space="preserve"> some areas of the country restricts the level of accuracy which can be achieved at this </w:t>
      </w:r>
      <w:r w:rsidR="6DBE6574" w:rsidRPr="77BE0170">
        <w:rPr>
          <w:rFonts w:eastAsiaTheme="minorEastAsia"/>
          <w:lang w:val="en-US"/>
        </w:rPr>
        <w:t xml:space="preserve">stage </w:t>
      </w:r>
      <w:r w:rsidR="4FC70DAA" w:rsidRPr="77BE0170">
        <w:rPr>
          <w:rFonts w:eastAsiaTheme="minorEastAsia"/>
          <w:lang w:val="en-US"/>
        </w:rPr>
        <w:t>in the mod</w:t>
      </w:r>
      <w:r w:rsidR="62769EB4" w:rsidRPr="77BE0170">
        <w:rPr>
          <w:rFonts w:eastAsiaTheme="minorEastAsia"/>
          <w:lang w:val="en-US"/>
        </w:rPr>
        <w:t>el</w:t>
      </w:r>
      <w:r w:rsidR="4FC70DAA" w:rsidRPr="77BE0170">
        <w:rPr>
          <w:rFonts w:eastAsiaTheme="minorEastAsia"/>
          <w:lang w:val="en-US"/>
        </w:rPr>
        <w:t xml:space="preserve"> development. </w:t>
      </w:r>
      <w:r w:rsidR="26FDE828" w:rsidRPr="77BE0170">
        <w:rPr>
          <w:rFonts w:eastAsiaTheme="minorEastAsia"/>
          <w:lang w:val="en-US"/>
        </w:rPr>
        <w:t>Also, t</w:t>
      </w:r>
      <w:r w:rsidR="732AD0AE" w:rsidRPr="77BE0170">
        <w:rPr>
          <w:rFonts w:eastAsiaTheme="minorEastAsia"/>
          <w:lang w:val="en-US"/>
        </w:rPr>
        <w:t xml:space="preserve">he </w:t>
      </w:r>
      <w:r w:rsidR="38364C44" w:rsidRPr="77BE0170">
        <w:rPr>
          <w:rFonts w:eastAsiaTheme="minorEastAsia"/>
          <w:lang w:val="en-US"/>
        </w:rPr>
        <w:t>current</w:t>
      </w:r>
      <w:r w:rsidR="732AD0AE" w:rsidRPr="77BE0170">
        <w:rPr>
          <w:rFonts w:eastAsiaTheme="minorEastAsia"/>
          <w:lang w:val="en-US"/>
        </w:rPr>
        <w:t xml:space="preserve"> coastal flooding model</w:t>
      </w:r>
      <w:r w:rsidR="6A959476" w:rsidRPr="77BE0170">
        <w:rPr>
          <w:rFonts w:eastAsiaTheme="minorEastAsia"/>
          <w:lang w:val="en-US"/>
        </w:rPr>
        <w:t xml:space="preserve"> does not </w:t>
      </w:r>
      <w:r w:rsidR="3578E649" w:rsidRPr="77BE0170">
        <w:rPr>
          <w:rFonts w:eastAsiaTheme="minorEastAsia"/>
          <w:lang w:val="en-US"/>
        </w:rPr>
        <w:t xml:space="preserve">incorporate wind generated </w:t>
      </w:r>
      <w:r w:rsidR="454BBFAE" w:rsidRPr="77BE0170">
        <w:rPr>
          <w:rFonts w:eastAsiaTheme="minorEastAsia"/>
          <w:lang w:val="en-US"/>
        </w:rPr>
        <w:t xml:space="preserve">swell and </w:t>
      </w:r>
      <w:r w:rsidR="6A959476" w:rsidRPr="77BE0170">
        <w:rPr>
          <w:rFonts w:eastAsiaTheme="minorEastAsia"/>
          <w:lang w:val="en-US"/>
        </w:rPr>
        <w:t>waves in the calculation of the total water level</w:t>
      </w:r>
      <w:r w:rsidR="31CFB5E0" w:rsidRPr="77BE0170">
        <w:rPr>
          <w:rFonts w:eastAsiaTheme="minorEastAsia"/>
          <w:lang w:val="en-US"/>
        </w:rPr>
        <w:t xml:space="preserve">, rather </w:t>
      </w:r>
      <w:r w:rsidR="2D6616D1" w:rsidRPr="77BE0170">
        <w:rPr>
          <w:rFonts w:eastAsiaTheme="minorEastAsia"/>
          <w:lang w:val="en-US"/>
        </w:rPr>
        <w:t xml:space="preserve">it </w:t>
      </w:r>
      <w:r w:rsidR="31CFB5E0" w:rsidRPr="77BE0170">
        <w:rPr>
          <w:rFonts w:eastAsiaTheme="minorEastAsia"/>
          <w:lang w:val="en-US"/>
        </w:rPr>
        <w:t xml:space="preserve">just combines tide effects with sea height increases resulting </w:t>
      </w:r>
      <w:r w:rsidR="498DE3BF" w:rsidRPr="77BE0170">
        <w:rPr>
          <w:rFonts w:eastAsiaTheme="minorEastAsia"/>
          <w:lang w:val="en-US"/>
        </w:rPr>
        <w:t>from</w:t>
      </w:r>
      <w:r w:rsidR="31CFB5E0" w:rsidRPr="77BE0170">
        <w:rPr>
          <w:rFonts w:eastAsiaTheme="minorEastAsia"/>
          <w:lang w:val="en-US"/>
        </w:rPr>
        <w:t xml:space="preserve"> low pressure levels</w:t>
      </w:r>
      <w:r w:rsidR="7E206985" w:rsidRPr="77BE0170">
        <w:rPr>
          <w:rFonts w:eastAsiaTheme="minorEastAsia"/>
          <w:lang w:val="en-US"/>
        </w:rPr>
        <w:t>.</w:t>
      </w:r>
      <w:r w:rsidR="3C4714F9" w:rsidRPr="77BE0170">
        <w:rPr>
          <w:rFonts w:eastAsiaTheme="minorEastAsia"/>
          <w:lang w:val="en-US"/>
        </w:rPr>
        <w:t xml:space="preserve"> Awareness and understanding of these limitations is an important aspect of stakeholder training</w:t>
      </w:r>
      <w:r w:rsidR="13D85E16" w:rsidRPr="77BE0170">
        <w:rPr>
          <w:rFonts w:eastAsiaTheme="minorEastAsia"/>
          <w:lang w:val="en-US"/>
        </w:rPr>
        <w:t xml:space="preserve"> provided by the FFC. </w:t>
      </w:r>
    </w:p>
    <w:p w14:paraId="0DC92296" w14:textId="495216FD" w:rsidR="720ED423" w:rsidRDefault="1DE11C27" w:rsidP="77BE0170">
      <w:pPr>
        <w:jc w:val="both"/>
        <w:rPr>
          <w:rFonts w:eastAsiaTheme="minorEastAsia"/>
          <w:b/>
          <w:bCs/>
          <w:lang w:val="en-GB"/>
        </w:rPr>
      </w:pPr>
      <w:r w:rsidRPr="77BE0170">
        <w:rPr>
          <w:rFonts w:eastAsiaTheme="minorEastAsia"/>
          <w:lang w:val="en-GB"/>
        </w:rPr>
        <w:t>R</w:t>
      </w:r>
      <w:r w:rsidR="41BAD833" w:rsidRPr="77BE0170">
        <w:rPr>
          <w:rFonts w:eastAsiaTheme="minorEastAsia"/>
          <w:lang w:val="en-GB"/>
        </w:rPr>
        <w:t>e</w:t>
      </w:r>
      <w:r w:rsidRPr="77BE0170">
        <w:rPr>
          <w:rFonts w:eastAsiaTheme="minorEastAsia"/>
          <w:lang w:val="en-GB"/>
        </w:rPr>
        <w:t>views and trials carried out to date are informing the d</w:t>
      </w:r>
      <w:r w:rsidR="31067F82" w:rsidRPr="77BE0170">
        <w:rPr>
          <w:rFonts w:eastAsiaTheme="minorEastAsia"/>
          <w:lang w:val="en-GB"/>
        </w:rPr>
        <w:t xml:space="preserve">evelopment </w:t>
      </w:r>
      <w:r w:rsidR="1A43031A" w:rsidRPr="77BE0170">
        <w:rPr>
          <w:rFonts w:eastAsiaTheme="minorEastAsia"/>
          <w:lang w:val="en-GB"/>
        </w:rPr>
        <w:t xml:space="preserve">plans </w:t>
      </w:r>
      <w:r w:rsidR="593374F9" w:rsidRPr="77BE0170">
        <w:rPr>
          <w:rFonts w:eastAsiaTheme="minorEastAsia"/>
          <w:lang w:val="en-GB"/>
        </w:rPr>
        <w:t xml:space="preserve">of the FCC which will focus on </w:t>
      </w:r>
      <w:r w:rsidR="31067F82" w:rsidRPr="77BE0170">
        <w:rPr>
          <w:rFonts w:eastAsiaTheme="minorEastAsia"/>
          <w:lang w:val="en-GB"/>
        </w:rPr>
        <w:t>improv</w:t>
      </w:r>
      <w:r w:rsidR="0EE1EBE4" w:rsidRPr="77BE0170">
        <w:rPr>
          <w:rFonts w:eastAsiaTheme="minorEastAsia"/>
          <w:lang w:val="en-GB"/>
        </w:rPr>
        <w:t>ing</w:t>
      </w:r>
      <w:r w:rsidR="31067F82" w:rsidRPr="77BE0170">
        <w:rPr>
          <w:rFonts w:eastAsiaTheme="minorEastAsia"/>
          <w:lang w:val="en-GB"/>
        </w:rPr>
        <w:t xml:space="preserve"> the FFC’s modelling capabilities</w:t>
      </w:r>
      <w:r w:rsidR="31406C77" w:rsidRPr="77BE0170">
        <w:rPr>
          <w:rFonts w:eastAsiaTheme="minorEastAsia"/>
          <w:lang w:val="en-GB"/>
        </w:rPr>
        <w:t xml:space="preserve"> and address</w:t>
      </w:r>
      <w:r w:rsidR="7D338EBF" w:rsidRPr="77BE0170">
        <w:rPr>
          <w:rFonts w:eastAsiaTheme="minorEastAsia"/>
          <w:lang w:val="en-GB"/>
        </w:rPr>
        <w:t>ing</w:t>
      </w:r>
      <w:r w:rsidR="31406C77" w:rsidRPr="77BE0170">
        <w:rPr>
          <w:rFonts w:eastAsiaTheme="minorEastAsia"/>
          <w:lang w:val="en-GB"/>
        </w:rPr>
        <w:t xml:space="preserve"> know</w:t>
      </w:r>
      <w:r w:rsidR="6002052C" w:rsidRPr="77BE0170">
        <w:rPr>
          <w:rFonts w:eastAsiaTheme="minorEastAsia"/>
          <w:lang w:val="en-GB"/>
        </w:rPr>
        <w:t>n</w:t>
      </w:r>
      <w:r w:rsidR="31406C77" w:rsidRPr="77BE0170">
        <w:rPr>
          <w:rFonts w:eastAsiaTheme="minorEastAsia"/>
          <w:lang w:val="en-GB"/>
        </w:rPr>
        <w:t xml:space="preserve"> limitations</w:t>
      </w:r>
      <w:r w:rsidR="31067F82" w:rsidRPr="77BE0170">
        <w:rPr>
          <w:rFonts w:eastAsiaTheme="minorEastAsia"/>
          <w:lang w:val="en-GB"/>
        </w:rPr>
        <w:t xml:space="preserve">. </w:t>
      </w:r>
      <w:r w:rsidR="4B55D2A0" w:rsidRPr="77BE0170">
        <w:rPr>
          <w:rFonts w:eastAsiaTheme="minorEastAsia"/>
          <w:lang w:val="en-US"/>
        </w:rPr>
        <w:t>The evolution of the FFC’s development plans will be</w:t>
      </w:r>
      <w:r w:rsidR="130F27B8" w:rsidRPr="77BE0170">
        <w:rPr>
          <w:rFonts w:eastAsiaTheme="minorEastAsia"/>
          <w:lang w:val="en-US"/>
        </w:rPr>
        <w:t xml:space="preserve"> supported by </w:t>
      </w:r>
      <w:r w:rsidR="5129E178" w:rsidRPr="77BE0170">
        <w:rPr>
          <w:rFonts w:eastAsiaTheme="minorEastAsia"/>
          <w:lang w:val="en-US"/>
        </w:rPr>
        <w:t xml:space="preserve">ongoing analysis </w:t>
      </w:r>
      <w:r w:rsidR="06C653C9" w:rsidRPr="77BE0170">
        <w:rPr>
          <w:rFonts w:eastAsiaTheme="minorEastAsia"/>
          <w:lang w:val="en-US"/>
        </w:rPr>
        <w:t xml:space="preserve">and formal annual reviews </w:t>
      </w:r>
      <w:r w:rsidR="130F27B8" w:rsidRPr="77BE0170">
        <w:rPr>
          <w:rFonts w:eastAsiaTheme="minorEastAsia"/>
          <w:lang w:val="en-US"/>
        </w:rPr>
        <w:t>of the models</w:t>
      </w:r>
      <w:r w:rsidR="1E2DB5B8" w:rsidRPr="77BE0170">
        <w:rPr>
          <w:rFonts w:eastAsiaTheme="minorEastAsia"/>
          <w:lang w:val="en-US"/>
        </w:rPr>
        <w:t>’</w:t>
      </w:r>
      <w:r w:rsidR="130F27B8" w:rsidRPr="77BE0170">
        <w:rPr>
          <w:rFonts w:eastAsiaTheme="minorEastAsia"/>
          <w:lang w:val="en-US"/>
        </w:rPr>
        <w:t xml:space="preserve"> performance</w:t>
      </w:r>
      <w:r w:rsidR="7B57718B" w:rsidRPr="77BE0170">
        <w:rPr>
          <w:rFonts w:eastAsiaTheme="minorEastAsia"/>
          <w:lang w:val="en-US"/>
        </w:rPr>
        <w:t>.</w:t>
      </w:r>
    </w:p>
    <w:p w14:paraId="0F089B30" w14:textId="3A19C21E" w:rsidR="720ED423" w:rsidRDefault="720ED423" w:rsidP="77BE0170">
      <w:pPr>
        <w:jc w:val="both"/>
        <w:rPr>
          <w:rFonts w:eastAsiaTheme="minorEastAsia"/>
          <w:b/>
          <w:bCs/>
          <w:lang w:val="en-GB"/>
        </w:rPr>
      </w:pPr>
      <w:r w:rsidRPr="77BE0170">
        <w:rPr>
          <w:rFonts w:eastAsiaTheme="minorEastAsia"/>
          <w:b/>
          <w:bCs/>
          <w:lang w:val="en-GB"/>
        </w:rPr>
        <w:t>Next Steps</w:t>
      </w:r>
    </w:p>
    <w:p w14:paraId="73BE98B8" w14:textId="69343B4A" w:rsidR="0B5854AD" w:rsidRDefault="51EEAA35" w:rsidP="3BBB3D35">
      <w:pPr>
        <w:jc w:val="both"/>
        <w:rPr>
          <w:rFonts w:eastAsiaTheme="minorEastAsia"/>
          <w:lang w:val="en-GB"/>
        </w:rPr>
      </w:pPr>
      <w:r w:rsidRPr="3BBB3D35">
        <w:rPr>
          <w:rFonts w:eastAsiaTheme="minorEastAsia"/>
          <w:lang w:val="en-GB"/>
        </w:rPr>
        <w:t>FFC operational staffing arrangements will be finalised during the</w:t>
      </w:r>
      <w:r w:rsidR="6152E5BC" w:rsidRPr="3BBB3D35">
        <w:rPr>
          <w:rFonts w:eastAsiaTheme="minorEastAsia"/>
          <w:lang w:val="en-GB"/>
        </w:rPr>
        <w:t xml:space="preserve"> pre-operational phase</w:t>
      </w:r>
      <w:r w:rsidR="2C503161" w:rsidRPr="3BBB3D35">
        <w:rPr>
          <w:rFonts w:eastAsiaTheme="minorEastAsia"/>
          <w:lang w:val="en-GB"/>
        </w:rPr>
        <w:t xml:space="preserve"> and </w:t>
      </w:r>
      <w:r w:rsidR="2B320104" w:rsidRPr="3BBB3D35">
        <w:rPr>
          <w:rFonts w:eastAsiaTheme="minorEastAsia"/>
          <w:lang w:val="en-GB"/>
        </w:rPr>
        <w:t>t</w:t>
      </w:r>
      <w:r w:rsidR="18AE11BE" w:rsidRPr="3BBB3D35">
        <w:rPr>
          <w:rFonts w:eastAsiaTheme="minorEastAsia"/>
          <w:lang w:val="en-GB"/>
        </w:rPr>
        <w:t xml:space="preserve">he FFC will </w:t>
      </w:r>
      <w:r w:rsidR="28E88813" w:rsidRPr="3BBB3D35">
        <w:rPr>
          <w:rFonts w:eastAsiaTheme="minorEastAsia"/>
          <w:lang w:val="en-GB"/>
        </w:rPr>
        <w:t xml:space="preserve">then </w:t>
      </w:r>
      <w:r w:rsidR="18AE11BE" w:rsidRPr="3BBB3D35">
        <w:rPr>
          <w:rFonts w:eastAsiaTheme="minorEastAsia"/>
          <w:lang w:val="en-GB"/>
        </w:rPr>
        <w:t>move to an operational phase.</w:t>
      </w:r>
    </w:p>
    <w:p w14:paraId="454F626E" w14:textId="4A62A29A" w:rsidR="0B5854AD" w:rsidRDefault="4EEA85DB" w:rsidP="77BE0170">
      <w:pPr>
        <w:jc w:val="both"/>
        <w:rPr>
          <w:rFonts w:eastAsiaTheme="minorEastAsia"/>
        </w:rPr>
      </w:pPr>
      <w:r w:rsidRPr="77BE0170">
        <w:rPr>
          <w:rFonts w:eastAsiaTheme="minorEastAsia"/>
        </w:rPr>
        <w:t>Currently the NFFWS SG is drafting a report on</w:t>
      </w:r>
      <w:r w:rsidR="17467ED6" w:rsidRPr="77BE0170">
        <w:rPr>
          <w:rFonts w:eastAsiaTheme="minorEastAsia"/>
          <w:lang w:val="en-GB"/>
        </w:rPr>
        <w:t xml:space="preserve"> </w:t>
      </w:r>
      <w:r w:rsidR="43B7ECF6" w:rsidRPr="77BE0170">
        <w:rPr>
          <w:rFonts w:eastAsiaTheme="minorEastAsia"/>
          <w:lang w:val="en-GB"/>
        </w:rPr>
        <w:t>Stage 1 of the NFFWS</w:t>
      </w:r>
      <w:r w:rsidR="61AF44C0" w:rsidRPr="77BE0170">
        <w:rPr>
          <w:rFonts w:eastAsiaTheme="minorEastAsia"/>
          <w:lang w:val="en-GB"/>
        </w:rPr>
        <w:t>, t</w:t>
      </w:r>
      <w:r w:rsidR="43B7ECF6" w:rsidRPr="77BE0170">
        <w:rPr>
          <w:rFonts w:eastAsiaTheme="minorEastAsia"/>
          <w:lang w:val="en-GB"/>
        </w:rPr>
        <w:t xml:space="preserve">he purpose </w:t>
      </w:r>
      <w:r w:rsidR="125C2B08" w:rsidRPr="77BE0170">
        <w:rPr>
          <w:rFonts w:eastAsiaTheme="minorEastAsia"/>
          <w:lang w:val="en-GB"/>
        </w:rPr>
        <w:t xml:space="preserve">which </w:t>
      </w:r>
      <w:r w:rsidR="43B7ECF6" w:rsidRPr="77BE0170">
        <w:rPr>
          <w:rFonts w:eastAsiaTheme="minorEastAsia"/>
          <w:lang w:val="en-GB"/>
        </w:rPr>
        <w:t>is to describe the progress made in Stage</w:t>
      </w:r>
      <w:r w:rsidR="55615678" w:rsidRPr="77BE0170">
        <w:rPr>
          <w:rFonts w:eastAsiaTheme="minorEastAsia"/>
          <w:lang w:val="en-GB"/>
        </w:rPr>
        <w:t xml:space="preserve"> 1</w:t>
      </w:r>
      <w:r w:rsidR="43B7ECF6" w:rsidRPr="77BE0170">
        <w:rPr>
          <w:rFonts w:eastAsiaTheme="minorEastAsia"/>
          <w:lang w:val="en-GB"/>
        </w:rPr>
        <w:t xml:space="preserve"> and </w:t>
      </w:r>
      <w:r w:rsidR="5CB29734" w:rsidRPr="77BE0170">
        <w:rPr>
          <w:rFonts w:eastAsiaTheme="minorEastAsia"/>
          <w:lang w:val="en-GB"/>
        </w:rPr>
        <w:t xml:space="preserve">to </w:t>
      </w:r>
      <w:r w:rsidR="2FC9533D" w:rsidRPr="77BE0170">
        <w:rPr>
          <w:rFonts w:eastAsiaTheme="minorEastAsia"/>
        </w:rPr>
        <w:t xml:space="preserve">identify areas for </w:t>
      </w:r>
      <w:r w:rsidR="43B7ECF6" w:rsidRPr="77BE0170">
        <w:rPr>
          <w:rFonts w:eastAsiaTheme="minorEastAsia"/>
          <w:lang w:val="en-GB"/>
        </w:rPr>
        <w:t>further development.</w:t>
      </w:r>
      <w:r w:rsidR="7D23E8D0" w:rsidRPr="77BE0170">
        <w:rPr>
          <w:rFonts w:eastAsiaTheme="minorEastAsia"/>
          <w:lang w:val="en-GB"/>
        </w:rPr>
        <w:t xml:space="preserve"> </w:t>
      </w:r>
      <w:r w:rsidR="2730B95E" w:rsidRPr="77BE0170">
        <w:rPr>
          <w:rFonts w:eastAsiaTheme="minorEastAsia"/>
        </w:rPr>
        <w:t xml:space="preserve">A </w:t>
      </w:r>
      <w:r w:rsidR="2730B95E" w:rsidRPr="77BE0170">
        <w:rPr>
          <w:rFonts w:eastAsiaTheme="minorEastAsia"/>
          <w:lang w:val="en-GB"/>
        </w:rPr>
        <w:t xml:space="preserve">Stage </w:t>
      </w:r>
      <w:r w:rsidR="7F3B66A2" w:rsidRPr="77BE0170">
        <w:rPr>
          <w:rFonts w:eastAsiaTheme="minorEastAsia"/>
          <w:lang w:val="en-GB"/>
        </w:rPr>
        <w:t xml:space="preserve">2 </w:t>
      </w:r>
      <w:r w:rsidR="4A505F17" w:rsidRPr="77BE0170">
        <w:rPr>
          <w:rFonts w:eastAsiaTheme="minorEastAsia"/>
          <w:lang w:val="en-GB"/>
        </w:rPr>
        <w:t>r</w:t>
      </w:r>
      <w:r w:rsidR="2730B95E" w:rsidRPr="77BE0170">
        <w:rPr>
          <w:rFonts w:eastAsiaTheme="minorEastAsia"/>
          <w:lang w:val="en-GB"/>
        </w:rPr>
        <w:t xml:space="preserve">eport is also being drafted by the NFFWS SG. This will outline </w:t>
      </w:r>
      <w:r w:rsidR="6C960B70" w:rsidRPr="77BE0170">
        <w:rPr>
          <w:rFonts w:eastAsiaTheme="minorEastAsia"/>
          <w:lang w:val="en-GB"/>
        </w:rPr>
        <w:t xml:space="preserve">a plan for </w:t>
      </w:r>
      <w:r w:rsidR="2730B95E" w:rsidRPr="77BE0170">
        <w:rPr>
          <w:rFonts w:eastAsiaTheme="minorEastAsia"/>
          <w:lang w:val="en-GB"/>
        </w:rPr>
        <w:t xml:space="preserve">the next </w:t>
      </w:r>
      <w:r w:rsidR="17E5E6C6" w:rsidRPr="77BE0170">
        <w:rPr>
          <w:rFonts w:eastAsiaTheme="minorEastAsia"/>
        </w:rPr>
        <w:t>s</w:t>
      </w:r>
      <w:r w:rsidR="0746D412" w:rsidRPr="77BE0170">
        <w:rPr>
          <w:rFonts w:eastAsiaTheme="minorEastAsia"/>
        </w:rPr>
        <w:t>tage</w:t>
      </w:r>
      <w:r w:rsidR="2730B95E" w:rsidRPr="77BE0170">
        <w:rPr>
          <w:rFonts w:eastAsiaTheme="minorEastAsia"/>
          <w:lang w:val="en-GB"/>
        </w:rPr>
        <w:t xml:space="preserve"> </w:t>
      </w:r>
      <w:r w:rsidR="2730B95E" w:rsidRPr="77BE0170">
        <w:rPr>
          <w:rFonts w:eastAsiaTheme="minorEastAsia"/>
        </w:rPr>
        <w:t>in</w:t>
      </w:r>
      <w:r w:rsidR="2730B95E" w:rsidRPr="77BE0170">
        <w:rPr>
          <w:rFonts w:eastAsiaTheme="minorEastAsia"/>
          <w:lang w:val="en-GB"/>
        </w:rPr>
        <w:t xml:space="preserve"> the development of the NFFWS. A </w:t>
      </w:r>
      <w:r w:rsidR="4D54A5A7" w:rsidRPr="77BE0170">
        <w:rPr>
          <w:rFonts w:eastAsiaTheme="minorEastAsia"/>
          <w:lang w:val="en-GB"/>
        </w:rPr>
        <w:t>m</w:t>
      </w:r>
      <w:r w:rsidR="2730B95E" w:rsidRPr="77BE0170">
        <w:rPr>
          <w:rFonts w:eastAsiaTheme="minorEastAsia"/>
          <w:lang w:val="en-GB"/>
        </w:rPr>
        <w:t xml:space="preserve">emo to Government </w:t>
      </w:r>
      <w:r w:rsidR="32080FB2" w:rsidRPr="77BE0170">
        <w:rPr>
          <w:rFonts w:eastAsiaTheme="minorEastAsia"/>
          <w:lang w:val="en-GB"/>
        </w:rPr>
        <w:t>is envisaged</w:t>
      </w:r>
      <w:r w:rsidR="3D9845B0" w:rsidRPr="77BE0170">
        <w:rPr>
          <w:rFonts w:eastAsiaTheme="minorEastAsia"/>
          <w:lang w:val="en-GB"/>
        </w:rPr>
        <w:t xml:space="preserve"> to inform of the </w:t>
      </w:r>
      <w:r w:rsidR="3D9845B0" w:rsidRPr="77BE0170">
        <w:rPr>
          <w:rFonts w:eastAsiaTheme="minorEastAsia"/>
        </w:rPr>
        <w:t xml:space="preserve">completion of Stage </w:t>
      </w:r>
      <w:r w:rsidR="1EA6EA5E" w:rsidRPr="77BE0170">
        <w:rPr>
          <w:rFonts w:eastAsiaTheme="minorEastAsia"/>
        </w:rPr>
        <w:t>1</w:t>
      </w:r>
      <w:r w:rsidR="3D9845B0" w:rsidRPr="77BE0170">
        <w:rPr>
          <w:rFonts w:eastAsiaTheme="minorEastAsia"/>
        </w:rPr>
        <w:t xml:space="preserve"> and </w:t>
      </w:r>
      <w:r w:rsidR="1285D581" w:rsidRPr="77BE0170">
        <w:rPr>
          <w:rFonts w:eastAsiaTheme="minorEastAsia"/>
        </w:rPr>
        <w:t>propos</w:t>
      </w:r>
      <w:r w:rsidR="4FB46098" w:rsidRPr="77BE0170">
        <w:rPr>
          <w:rFonts w:eastAsiaTheme="minorEastAsia"/>
        </w:rPr>
        <w:t>e</w:t>
      </w:r>
      <w:r w:rsidR="1285D581" w:rsidRPr="77BE0170">
        <w:rPr>
          <w:rFonts w:eastAsiaTheme="minorEastAsia"/>
        </w:rPr>
        <w:t xml:space="preserve"> a </w:t>
      </w:r>
      <w:r w:rsidR="3D9845B0" w:rsidRPr="77BE0170">
        <w:rPr>
          <w:rFonts w:eastAsiaTheme="minorEastAsia"/>
        </w:rPr>
        <w:t>Stage 2</w:t>
      </w:r>
      <w:r w:rsidR="218F485C" w:rsidRPr="77BE0170">
        <w:rPr>
          <w:rFonts w:eastAsiaTheme="minorEastAsia"/>
        </w:rPr>
        <w:t xml:space="preserve"> for the NFFWS</w:t>
      </w:r>
      <w:r w:rsidR="3D9845B0" w:rsidRPr="77BE0170">
        <w:rPr>
          <w:rFonts w:eastAsiaTheme="minorEastAsia"/>
        </w:rPr>
        <w:t>.</w:t>
      </w:r>
      <w:r w:rsidR="24F87A89" w:rsidRPr="77BE0170">
        <w:rPr>
          <w:rFonts w:eastAsiaTheme="minorEastAsia"/>
        </w:rPr>
        <w:t xml:space="preserve"> </w:t>
      </w:r>
    </w:p>
    <w:p w14:paraId="768B93BD" w14:textId="2960B46D" w:rsidR="0B5854AD" w:rsidRDefault="0B5854AD" w:rsidP="77BE0170">
      <w:pPr>
        <w:rPr>
          <w:rFonts w:eastAsiaTheme="minorEastAsia"/>
          <w:color w:val="FF0000"/>
        </w:rPr>
      </w:pPr>
    </w:p>
    <w:p w14:paraId="7F33E32A" w14:textId="39BBD1B6" w:rsidR="0B5854AD" w:rsidRDefault="0B5854AD" w:rsidP="77BE0170">
      <w:pPr>
        <w:rPr>
          <w:rFonts w:eastAsiaTheme="minorEastAsia"/>
        </w:rPr>
      </w:pPr>
    </w:p>
    <w:p w14:paraId="2847E138" w14:textId="692FD4E8" w:rsidR="0B5854AD" w:rsidRDefault="0B5854AD" w:rsidP="0B5854AD"/>
    <w:p w14:paraId="45EEE632" w14:textId="7BA6F352" w:rsidR="194492BB" w:rsidRDefault="194492BB" w:rsidP="0B5854AD">
      <w:pPr>
        <w:jc w:val="center"/>
      </w:pPr>
      <w:r>
        <w:rPr>
          <w:noProof/>
          <w:lang w:eastAsia="en-IE"/>
        </w:rPr>
        <w:lastRenderedPageBreak/>
        <w:drawing>
          <wp:inline distT="0" distB="0" distL="0" distR="0" wp14:anchorId="4DBCF386" wp14:editId="5273815A">
            <wp:extent cx="5184908" cy="8080375"/>
            <wp:effectExtent l="0" t="0" r="0" b="0"/>
            <wp:docPr id="127630913" name="Picture 127630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5184908" cy="8080375"/>
                    </a:xfrm>
                    <a:prstGeom prst="rect">
                      <a:avLst/>
                    </a:prstGeom>
                  </pic:spPr>
                </pic:pic>
              </a:graphicData>
            </a:graphic>
          </wp:inline>
        </w:drawing>
      </w:r>
    </w:p>
    <w:tbl>
      <w:tblPr>
        <w:tblStyle w:val="TableGrid"/>
        <w:tblW w:w="0" w:type="auto"/>
        <w:tblLayout w:type="fixed"/>
        <w:tblLook w:val="06A0" w:firstRow="1" w:lastRow="0" w:firstColumn="1" w:lastColumn="0" w:noHBand="1" w:noVBand="1"/>
      </w:tblPr>
      <w:tblGrid>
        <w:gridCol w:w="9015"/>
      </w:tblGrid>
      <w:tr w:rsidR="0B5854AD" w14:paraId="56690B2D" w14:textId="77777777" w:rsidTr="77BE0170">
        <w:trPr>
          <w:trHeight w:val="300"/>
        </w:trPr>
        <w:tc>
          <w:tcPr>
            <w:tcW w:w="9015" w:type="dxa"/>
          </w:tcPr>
          <w:p w14:paraId="2CEC5C74" w14:textId="3E79651D" w:rsidR="10507AD0" w:rsidRDefault="7CB24EC9" w:rsidP="0B5854AD">
            <w:r>
              <w:t xml:space="preserve">Figure 1 The Daily Flood Guidance Statement issued by the Flood Forecast Centre which gives an indication of flood risk for a </w:t>
            </w:r>
            <w:r w:rsidR="28CA5904">
              <w:t>3-day</w:t>
            </w:r>
            <w:r>
              <w:t xml:space="preserve"> period.</w:t>
            </w:r>
          </w:p>
        </w:tc>
      </w:tr>
    </w:tbl>
    <w:p w14:paraId="096D5924" w14:textId="77777777" w:rsidR="006E7EB8" w:rsidRDefault="006E7EB8" w:rsidP="0B5854AD">
      <w:pPr>
        <w:jc w:val="both"/>
        <w:rPr>
          <w:sz w:val="32"/>
          <w:szCs w:val="32"/>
        </w:rPr>
      </w:pPr>
    </w:p>
    <w:p w14:paraId="1346A31E" w14:textId="4CFFB91D" w:rsidR="66EC2C8D" w:rsidRDefault="66EC2C8D" w:rsidP="0B5854AD">
      <w:pPr>
        <w:jc w:val="both"/>
        <w:rPr>
          <w:sz w:val="32"/>
          <w:szCs w:val="32"/>
        </w:rPr>
      </w:pPr>
      <w:r w:rsidRPr="77BE0170">
        <w:rPr>
          <w:sz w:val="32"/>
          <w:szCs w:val="32"/>
        </w:rPr>
        <w:lastRenderedPageBreak/>
        <w:t>Appendices:</w:t>
      </w:r>
    </w:p>
    <w:p w14:paraId="350C175B" w14:textId="000F7C86" w:rsidR="135E4E7E" w:rsidRDefault="135E4E7E" w:rsidP="77BE0170">
      <w:pPr>
        <w:jc w:val="both"/>
        <w:rPr>
          <w:sz w:val="24"/>
          <w:szCs w:val="24"/>
        </w:rPr>
      </w:pPr>
      <w:r w:rsidRPr="77BE0170">
        <w:rPr>
          <w:sz w:val="24"/>
          <w:szCs w:val="24"/>
        </w:rPr>
        <w:t>Appendix 1: River Flood Forecasting System</w:t>
      </w:r>
    </w:p>
    <w:p w14:paraId="4FB5A763" w14:textId="22138F07" w:rsidR="716A8809" w:rsidRDefault="716A8809" w:rsidP="77BE0170">
      <w:pPr>
        <w:jc w:val="both"/>
        <w:rPr>
          <w:sz w:val="24"/>
          <w:szCs w:val="24"/>
        </w:rPr>
      </w:pPr>
      <w:r w:rsidRPr="77BE0170">
        <w:rPr>
          <w:sz w:val="24"/>
          <w:szCs w:val="24"/>
        </w:rPr>
        <w:t>Appendix 2: Coastal Flood Forecasting System</w:t>
      </w:r>
    </w:p>
    <w:p w14:paraId="4E9F6EE6" w14:textId="7C8E3670" w:rsidR="716A8809" w:rsidRDefault="716A8809" w:rsidP="77BE0170">
      <w:pPr>
        <w:jc w:val="both"/>
        <w:rPr>
          <w:sz w:val="24"/>
          <w:szCs w:val="24"/>
        </w:rPr>
      </w:pPr>
      <w:r w:rsidRPr="77BE0170">
        <w:rPr>
          <w:sz w:val="24"/>
          <w:szCs w:val="24"/>
        </w:rPr>
        <w:t>Appendix 3: Statement of Services</w:t>
      </w:r>
    </w:p>
    <w:p w14:paraId="15933FD5" w14:textId="7B843990" w:rsidR="77BE0170" w:rsidRDefault="77BE0170" w:rsidP="77BE0170">
      <w:pPr>
        <w:jc w:val="both"/>
        <w:rPr>
          <w:sz w:val="24"/>
          <w:szCs w:val="24"/>
        </w:rPr>
      </w:pPr>
    </w:p>
    <w:p w14:paraId="2656D4BA" w14:textId="151711F4" w:rsidR="77BE0170" w:rsidRDefault="77BE0170">
      <w:r>
        <w:br w:type="page"/>
      </w:r>
    </w:p>
    <w:p w14:paraId="1F0092C6" w14:textId="32771464" w:rsidR="135E4E7E" w:rsidRDefault="135E4E7E" w:rsidP="77BE0170">
      <w:pPr>
        <w:spacing w:beforeAutospacing="1" w:afterAutospacing="1"/>
        <w:jc w:val="both"/>
        <w:rPr>
          <w:rFonts w:ascii="Calibri Light" w:eastAsia="Calibri Light" w:hAnsi="Calibri Light" w:cs="Calibri Light"/>
          <w:color w:val="000000" w:themeColor="text1"/>
          <w:sz w:val="24"/>
          <w:szCs w:val="24"/>
        </w:rPr>
      </w:pPr>
      <w:r w:rsidRPr="77BE0170">
        <w:rPr>
          <w:rFonts w:ascii="Calibri Light" w:eastAsia="Calibri Light" w:hAnsi="Calibri Light" w:cs="Calibri Light"/>
          <w:b/>
          <w:bCs/>
          <w:color w:val="000000" w:themeColor="text1"/>
          <w:sz w:val="24"/>
          <w:szCs w:val="24"/>
          <w:lang w:val="en-GB"/>
        </w:rPr>
        <w:lastRenderedPageBreak/>
        <w:t>Appendix 1: River (Fluvial) Flood Forecasting System:</w:t>
      </w:r>
    </w:p>
    <w:p w14:paraId="2E567F01" w14:textId="08AAB72D" w:rsidR="135E4E7E" w:rsidRDefault="135E4E7E" w:rsidP="77BE0170">
      <w:pPr>
        <w:keepNext/>
        <w:keepLines/>
        <w:spacing w:before="40" w:beforeAutospacing="1" w:after="0" w:afterAutospacing="1"/>
        <w:jc w:val="both"/>
        <w:rPr>
          <w:rFonts w:ascii="Calibri Light" w:eastAsia="Calibri Light" w:hAnsi="Calibri Light" w:cs="Calibri Light"/>
          <w:color w:val="2F5496" w:themeColor="accent1" w:themeShade="BF"/>
          <w:sz w:val="24"/>
          <w:szCs w:val="24"/>
        </w:rPr>
      </w:pPr>
      <w:r w:rsidRPr="77BE0170">
        <w:rPr>
          <w:rStyle w:val="Strong"/>
          <w:rFonts w:ascii="Calibri Light" w:eastAsia="Calibri Light" w:hAnsi="Calibri Light" w:cs="Calibri Light"/>
          <w:color w:val="2F5496" w:themeColor="accent1" w:themeShade="BF"/>
          <w:sz w:val="24"/>
          <w:szCs w:val="24"/>
        </w:rPr>
        <w:t>Overview  </w:t>
      </w:r>
    </w:p>
    <w:p w14:paraId="525A4E78" w14:textId="5BB5ED7D" w:rsidR="135E4E7E" w:rsidRDefault="135E4E7E" w:rsidP="77BE0170">
      <w:pPr>
        <w:pStyle w:val="paragraph"/>
        <w:spacing w:beforeAutospacing="0" w:after="0" w:afterAutospacing="0" w:line="240" w:lineRule="auto"/>
        <w:jc w:val="both"/>
        <w:rPr>
          <w:rFonts w:ascii="Calibri Light" w:eastAsia="Calibri Light" w:hAnsi="Calibri Light" w:cs="Calibri Light"/>
          <w:color w:val="000000" w:themeColor="text1"/>
        </w:rPr>
      </w:pPr>
      <w:r w:rsidRPr="77BE0170">
        <w:rPr>
          <w:rFonts w:ascii="Calibri Light" w:eastAsia="Calibri Light" w:hAnsi="Calibri Light" w:cs="Calibri Light"/>
          <w:color w:val="000000" w:themeColor="text1"/>
        </w:rPr>
        <w:t>The purpose of this document is to describe the HYPE Fluvial Forecast Model, and the FEWS integrator system which the FFC will use as the operational fluvial flood forecasting system in the Flood Forecast Centre (FFC).  </w:t>
      </w:r>
    </w:p>
    <w:p w14:paraId="5C4525F1" w14:textId="5605199C" w:rsidR="77BE0170" w:rsidRDefault="77BE0170" w:rsidP="77BE0170">
      <w:pPr>
        <w:pStyle w:val="paragraph"/>
        <w:spacing w:beforeAutospacing="0" w:after="0" w:afterAutospacing="0" w:line="240" w:lineRule="auto"/>
        <w:jc w:val="both"/>
        <w:rPr>
          <w:rFonts w:ascii="Calibri Light" w:eastAsia="Calibri Light" w:hAnsi="Calibri Light" w:cs="Calibri Light"/>
          <w:color w:val="000000" w:themeColor="text1"/>
        </w:rPr>
      </w:pPr>
    </w:p>
    <w:p w14:paraId="4C461CF0" w14:textId="5425F88F" w:rsidR="135E4E7E" w:rsidRDefault="135E4E7E" w:rsidP="77BE0170">
      <w:pPr>
        <w:pStyle w:val="ListParagraph"/>
        <w:keepNext/>
        <w:keepLines/>
        <w:numPr>
          <w:ilvl w:val="0"/>
          <w:numId w:val="15"/>
        </w:numPr>
        <w:spacing w:before="40" w:beforeAutospacing="1" w:after="0" w:afterAutospacing="1"/>
        <w:jc w:val="both"/>
        <w:rPr>
          <w:rFonts w:ascii="Calibri Light" w:eastAsia="Calibri Light" w:hAnsi="Calibri Light" w:cs="Calibri Light"/>
          <w:color w:val="2F5496" w:themeColor="accent1" w:themeShade="BF"/>
          <w:sz w:val="24"/>
          <w:szCs w:val="24"/>
        </w:rPr>
      </w:pPr>
      <w:r w:rsidRPr="77BE0170">
        <w:rPr>
          <w:rStyle w:val="Strong"/>
          <w:rFonts w:ascii="Calibri Light" w:eastAsia="Calibri Light" w:hAnsi="Calibri Light" w:cs="Calibri Light"/>
          <w:color w:val="2F5496" w:themeColor="accent1" w:themeShade="BF"/>
          <w:sz w:val="24"/>
          <w:szCs w:val="24"/>
        </w:rPr>
        <w:t>System Evaluation and Review</w:t>
      </w:r>
    </w:p>
    <w:p w14:paraId="10845D7F" w14:textId="2BFBC1E8" w:rsidR="77BE0170" w:rsidRDefault="135E4E7E" w:rsidP="77BE0170">
      <w:pPr>
        <w:spacing w:beforeAutospacing="1" w:afterAutospacing="1"/>
        <w:jc w:val="both"/>
        <w:rPr>
          <w:rFonts w:ascii="Calibri Light" w:eastAsia="Calibri Light" w:hAnsi="Calibri Light" w:cs="Calibri Light"/>
          <w:color w:val="000000" w:themeColor="text1"/>
          <w:sz w:val="24"/>
          <w:szCs w:val="24"/>
        </w:rPr>
      </w:pPr>
      <w:r w:rsidRPr="77BE0170">
        <w:rPr>
          <w:rFonts w:ascii="Calibri Light" w:eastAsia="Calibri Light" w:hAnsi="Calibri Light" w:cs="Calibri Light"/>
          <w:color w:val="000000" w:themeColor="text1"/>
          <w:sz w:val="24"/>
          <w:szCs w:val="24"/>
        </w:rPr>
        <w:t>FFD was tasked with developing a National and Catchment scale hydrological model for the purposes of fluvial flood forecasting. Critical to providing accurate and timely forecasts is the selection of a hydrological model, which is both appropriate for Irish conditions and meets the operational requirements of the FFC. Through a tendering process, the International Marine and Dredging Consultants (IMDC; Antwerp) company were awarded a contract to identify the most appropriate hydrological model for the FFC. Following a rigorous evaluation process – which considered four vastly different hydrological models (HYPE, URBS, WRF-Hydro and wFlow) - completed in Q3 2020, IMDC identified the Hydrological Predictions for the Environment (HYPE) model as being the most suitable.</w:t>
      </w:r>
    </w:p>
    <w:p w14:paraId="28210564" w14:textId="744AB87F" w:rsidR="77BE0170" w:rsidRDefault="135E4E7E" w:rsidP="77BE0170">
      <w:pPr>
        <w:spacing w:beforeAutospacing="1" w:afterAutospacing="1" w:line="276" w:lineRule="auto"/>
        <w:jc w:val="both"/>
        <w:rPr>
          <w:rFonts w:ascii="Calibri Light" w:eastAsia="Calibri Light" w:hAnsi="Calibri Light" w:cs="Calibri Light"/>
          <w:color w:val="000000" w:themeColor="text1"/>
          <w:sz w:val="24"/>
          <w:szCs w:val="24"/>
        </w:rPr>
      </w:pPr>
      <w:r w:rsidRPr="77BE0170">
        <w:rPr>
          <w:rFonts w:ascii="Calibri Light" w:eastAsia="Calibri Light" w:hAnsi="Calibri Light" w:cs="Calibri Light"/>
          <w:color w:val="000000" w:themeColor="text1"/>
          <w:sz w:val="24"/>
          <w:szCs w:val="24"/>
        </w:rPr>
        <w:t xml:space="preserve">IMDC were also tasked with reviewing suitable integrator systems and making a recommendation on which system to use in the FFC. An Integrator is a software system designed to integrate various data sources and models to provide real-time flood forecasting and warning information.  An initial Multi-Criteria Analysis (MCA) showed that two of the integrator systems (Delft FEWS and Mike Operations) are much more generic and suitable than the others. Therefore, it was decided to only include Delft FEWS and Mike Operations in further stages of the review. Delft FEWS was the highest scoring integrator system during the initial stages of the review. River discharge forecasts from FEWS are available to view by stakeholders on the Irish Flood Integrated Communication System (IFICS). </w:t>
      </w:r>
    </w:p>
    <w:p w14:paraId="0319EF60" w14:textId="6292D3A2" w:rsidR="135E4E7E" w:rsidRDefault="135E4E7E" w:rsidP="77BE0170">
      <w:pPr>
        <w:spacing w:beforeAutospacing="1" w:afterAutospacing="1"/>
        <w:jc w:val="both"/>
        <w:rPr>
          <w:rFonts w:ascii="Calibri Light" w:eastAsia="Calibri Light" w:hAnsi="Calibri Light" w:cs="Calibri Light"/>
          <w:color w:val="000000" w:themeColor="text1"/>
          <w:sz w:val="24"/>
          <w:szCs w:val="24"/>
        </w:rPr>
      </w:pPr>
      <w:r w:rsidRPr="77BE0170">
        <w:rPr>
          <w:rFonts w:ascii="Calibri Light" w:eastAsia="Calibri Light" w:hAnsi="Calibri Light" w:cs="Calibri Light"/>
          <w:color w:val="000000" w:themeColor="text1"/>
          <w:sz w:val="24"/>
          <w:szCs w:val="24"/>
        </w:rPr>
        <w:t xml:space="preserve">Through their evaluation process, IMDC set out a methodology for the development, calibration, and operational assessment of the HYPE model. </w:t>
      </w:r>
      <w:r w:rsidRPr="77BE0170">
        <w:rPr>
          <w:rFonts w:ascii="Calibri Light" w:eastAsia="Calibri Light" w:hAnsi="Calibri Light" w:cs="Calibri Light"/>
          <w:color w:val="000000" w:themeColor="text1"/>
          <w:sz w:val="24"/>
          <w:szCs w:val="24"/>
          <w:lang w:val="en-GB"/>
        </w:rPr>
        <w:t>The FFD in conjunction with IMDC built 36 Hydrometric Area models using the HYPE model. These models were calibrated using all available observations. The 36 models were then integrated into the FEWS model. It should be noted that the model is used internationally for operational flood forecasting in a number of countries including Sweden and Denmark. It is also used for operational flood forecasting at a global and continental scale.</w:t>
      </w:r>
    </w:p>
    <w:p w14:paraId="7E50054A" w14:textId="195ED0A7" w:rsidR="77BE0170" w:rsidRDefault="77BE0170" w:rsidP="77BE0170">
      <w:pPr>
        <w:spacing w:beforeAutospacing="1" w:afterAutospacing="1"/>
        <w:jc w:val="both"/>
        <w:rPr>
          <w:rFonts w:ascii="Calibri Light" w:eastAsia="Calibri Light" w:hAnsi="Calibri Light" w:cs="Calibri Light"/>
          <w:color w:val="000000" w:themeColor="text1"/>
          <w:sz w:val="24"/>
          <w:szCs w:val="24"/>
          <w:lang w:val="en-GB"/>
        </w:rPr>
      </w:pPr>
    </w:p>
    <w:p w14:paraId="14F4E41D" w14:textId="37F36CE3" w:rsidR="135E4E7E" w:rsidRDefault="135E4E7E" w:rsidP="77BE0170">
      <w:pPr>
        <w:pStyle w:val="ListParagraph"/>
        <w:keepNext/>
        <w:keepLines/>
        <w:numPr>
          <w:ilvl w:val="0"/>
          <w:numId w:val="15"/>
        </w:numPr>
        <w:spacing w:before="40" w:beforeAutospacing="1" w:after="0" w:afterAutospacing="1"/>
        <w:jc w:val="both"/>
        <w:rPr>
          <w:rFonts w:ascii="Calibri Light" w:eastAsia="Calibri Light" w:hAnsi="Calibri Light" w:cs="Calibri Light"/>
          <w:color w:val="2F5496" w:themeColor="accent1" w:themeShade="BF"/>
          <w:sz w:val="24"/>
          <w:szCs w:val="24"/>
        </w:rPr>
      </w:pPr>
      <w:r w:rsidRPr="77BE0170">
        <w:rPr>
          <w:rStyle w:val="Strong"/>
          <w:rFonts w:ascii="Calibri Light" w:eastAsia="Calibri Light" w:hAnsi="Calibri Light" w:cs="Calibri Light"/>
          <w:color w:val="2F5496" w:themeColor="accent1" w:themeShade="BF"/>
          <w:sz w:val="24"/>
          <w:szCs w:val="24"/>
        </w:rPr>
        <w:lastRenderedPageBreak/>
        <w:t>Operational System Set Up</w:t>
      </w:r>
    </w:p>
    <w:p w14:paraId="477C4766" w14:textId="5243F84F" w:rsidR="135E4E7E" w:rsidRDefault="135E4E7E" w:rsidP="77BE0170">
      <w:pPr>
        <w:spacing w:beforeAutospacing="1" w:afterAutospacing="1" w:line="276" w:lineRule="auto"/>
        <w:jc w:val="both"/>
        <w:rPr>
          <w:rFonts w:ascii="Calibri Light" w:eastAsia="Calibri Light" w:hAnsi="Calibri Light" w:cs="Calibri Light"/>
          <w:color w:val="000000" w:themeColor="text1"/>
          <w:sz w:val="24"/>
          <w:szCs w:val="24"/>
        </w:rPr>
      </w:pPr>
      <w:r w:rsidRPr="77BE0170">
        <w:rPr>
          <w:rFonts w:ascii="Calibri Light" w:eastAsia="Calibri Light" w:hAnsi="Calibri Light" w:cs="Calibri Light"/>
          <w:color w:val="000000" w:themeColor="text1"/>
          <w:sz w:val="24"/>
          <w:szCs w:val="24"/>
        </w:rPr>
        <w:t>The HYPE model is hosted on the cloud (Microsoft Azure) and is managed using Deltares’ Delft-FEWS integrator system.  Observed and forecast NWP meteorological data is input to the HYPE model. HYPE is set-up to use longer-range NWP data from the ECMWF model (7 days) alongside shorter-range (54hrs) NWP data using the higher resolution HARMONIE model. In addition, the system uses ensemble forecasts from both Met Éireann and ECMWF.</w:t>
      </w:r>
    </w:p>
    <w:p w14:paraId="73C86E1C" w14:textId="6354F4B5" w:rsidR="135E4E7E" w:rsidRDefault="135E4E7E" w:rsidP="77BE0170">
      <w:pPr>
        <w:pStyle w:val="ListParagraph"/>
        <w:keepNext/>
        <w:keepLines/>
        <w:numPr>
          <w:ilvl w:val="0"/>
          <w:numId w:val="15"/>
        </w:numPr>
        <w:spacing w:before="40" w:beforeAutospacing="1" w:after="0" w:afterAutospacing="1"/>
        <w:jc w:val="both"/>
        <w:rPr>
          <w:rFonts w:ascii="Calibri Light" w:eastAsia="Calibri Light" w:hAnsi="Calibri Light" w:cs="Calibri Light"/>
          <w:color w:val="2F5496" w:themeColor="accent1" w:themeShade="BF"/>
          <w:sz w:val="24"/>
          <w:szCs w:val="24"/>
        </w:rPr>
      </w:pPr>
      <w:r w:rsidRPr="77BE0170">
        <w:rPr>
          <w:rStyle w:val="Strong"/>
          <w:rFonts w:ascii="Calibri Light" w:eastAsia="Calibri Light" w:hAnsi="Calibri Light" w:cs="Calibri Light"/>
          <w:color w:val="2F5496" w:themeColor="accent1" w:themeShade="BF"/>
          <w:sz w:val="24"/>
          <w:szCs w:val="24"/>
        </w:rPr>
        <w:t>System Trial</w:t>
      </w:r>
    </w:p>
    <w:p w14:paraId="45C45092" w14:textId="170B6A5A" w:rsidR="77BE0170" w:rsidRPr="0036386B" w:rsidRDefault="135E4E7E" w:rsidP="77BE0170">
      <w:pPr>
        <w:spacing w:beforeAutospacing="1" w:afterAutospacing="1"/>
        <w:jc w:val="both"/>
        <w:rPr>
          <w:rFonts w:ascii="Calibri Light" w:eastAsia="Calibri Light" w:hAnsi="Calibri Light" w:cs="Calibri Light"/>
          <w:color w:val="000000" w:themeColor="text1"/>
          <w:sz w:val="24"/>
          <w:szCs w:val="24"/>
        </w:rPr>
      </w:pPr>
      <w:r w:rsidRPr="77BE0170">
        <w:rPr>
          <w:rFonts w:ascii="Calibri Light" w:eastAsia="Calibri Light" w:hAnsi="Calibri Light" w:cs="Calibri Light"/>
          <w:color w:val="000000" w:themeColor="text1"/>
          <w:sz w:val="24"/>
          <w:szCs w:val="24"/>
          <w:lang w:val="en-GB"/>
        </w:rPr>
        <w:t>Both the HYPE model and FEWS Integrator system were tested in the non-operational trial. The model was found to be very useful for a number of locations, but additional work is needed to improve the accuracy at other locations. Appendix 1</w:t>
      </w:r>
      <w:r w:rsidR="3983DCD3" w:rsidRPr="77BE0170">
        <w:rPr>
          <w:rFonts w:ascii="Calibri Light" w:eastAsia="Calibri Light" w:hAnsi="Calibri Light" w:cs="Calibri Light"/>
          <w:color w:val="000000" w:themeColor="text1"/>
          <w:sz w:val="24"/>
          <w:szCs w:val="24"/>
          <w:lang w:val="en-GB"/>
        </w:rPr>
        <w:t>.1</w:t>
      </w:r>
      <w:r w:rsidRPr="77BE0170">
        <w:rPr>
          <w:rFonts w:ascii="Calibri Light" w:eastAsia="Calibri Light" w:hAnsi="Calibri Light" w:cs="Calibri Light"/>
          <w:color w:val="000000" w:themeColor="text1"/>
          <w:sz w:val="24"/>
          <w:szCs w:val="24"/>
          <w:lang w:val="en-GB"/>
        </w:rPr>
        <w:t xml:space="preserve"> outlines the results of an evaluation study undertaken to assess the performance of the HYPE model during a trial of the system. This supplements a study undertaken by IMDC during the time of model development </w:t>
      </w:r>
      <w:r w:rsidR="2D544DBC" w:rsidRPr="77BE0170">
        <w:rPr>
          <w:rFonts w:ascii="Calibri Light" w:eastAsia="Calibri Light" w:hAnsi="Calibri Light" w:cs="Calibri Light"/>
          <w:color w:val="000000" w:themeColor="text1"/>
          <w:sz w:val="24"/>
          <w:szCs w:val="24"/>
          <w:lang w:val="en-GB"/>
        </w:rPr>
        <w:t xml:space="preserve">and a FEWS system trial. </w:t>
      </w:r>
      <w:r w:rsidRPr="77BE0170">
        <w:rPr>
          <w:rFonts w:ascii="Calibri Light" w:eastAsia="Calibri Light" w:hAnsi="Calibri Light" w:cs="Calibri Light"/>
          <w:color w:val="000000" w:themeColor="text1"/>
          <w:sz w:val="24"/>
          <w:szCs w:val="24"/>
          <w:lang w:val="en-GB"/>
        </w:rPr>
        <w:t xml:space="preserve">. Several recommendations are made to improve the model and to gain more from the FEWS system. The FFC will produce a plan to address the various recommendations and implement them to improve the HYPE model and FEWS. </w:t>
      </w:r>
    </w:p>
    <w:p w14:paraId="51C0713F" w14:textId="429D34EC" w:rsidR="135E4E7E" w:rsidRDefault="135E4E7E" w:rsidP="77BE0170">
      <w:pPr>
        <w:pStyle w:val="ListParagraph"/>
        <w:keepNext/>
        <w:keepLines/>
        <w:numPr>
          <w:ilvl w:val="0"/>
          <w:numId w:val="15"/>
        </w:numPr>
        <w:spacing w:before="40" w:beforeAutospacing="1" w:after="0" w:afterAutospacing="1"/>
        <w:jc w:val="both"/>
        <w:rPr>
          <w:rFonts w:ascii="Calibri Light" w:eastAsia="Calibri Light" w:hAnsi="Calibri Light" w:cs="Calibri Light"/>
          <w:color w:val="2F5496" w:themeColor="accent1" w:themeShade="BF"/>
          <w:sz w:val="24"/>
          <w:szCs w:val="24"/>
        </w:rPr>
      </w:pPr>
      <w:r w:rsidRPr="77BE0170">
        <w:rPr>
          <w:rStyle w:val="Strong"/>
          <w:rFonts w:ascii="Calibri Light" w:eastAsia="Calibri Light" w:hAnsi="Calibri Light" w:cs="Calibri Light"/>
          <w:color w:val="2F5496" w:themeColor="accent1" w:themeShade="BF"/>
          <w:sz w:val="24"/>
          <w:szCs w:val="24"/>
        </w:rPr>
        <w:t>Preparations for the operational FFC</w:t>
      </w:r>
    </w:p>
    <w:p w14:paraId="0AB522C6" w14:textId="1146543A" w:rsidR="135E4E7E" w:rsidRDefault="135E4E7E" w:rsidP="77BE0170">
      <w:pPr>
        <w:spacing w:beforeAutospacing="1" w:afterAutospacing="1"/>
        <w:jc w:val="both"/>
        <w:rPr>
          <w:rFonts w:ascii="Calibri Light" w:eastAsia="Calibri Light" w:hAnsi="Calibri Light" w:cs="Calibri Light"/>
          <w:color w:val="000000" w:themeColor="text1"/>
          <w:sz w:val="24"/>
          <w:szCs w:val="24"/>
        </w:rPr>
      </w:pPr>
      <w:r w:rsidRPr="77BE0170">
        <w:rPr>
          <w:rFonts w:ascii="Calibri Light" w:eastAsia="Calibri Light" w:hAnsi="Calibri Light" w:cs="Calibri Light"/>
          <w:color w:val="000000" w:themeColor="text1"/>
          <w:sz w:val="24"/>
          <w:szCs w:val="24"/>
          <w:lang w:val="en-GB"/>
        </w:rPr>
        <w:t xml:space="preserve">The FFD have now embedded the HYPE model into the FEWS system. It receives NWP data directly from the operational stream at ECMWF, while Harmonie data is directed from HQ. </w:t>
      </w:r>
    </w:p>
    <w:p w14:paraId="4D716C89" w14:textId="6B9D48FC" w:rsidR="77BE0170" w:rsidRPr="0036386B" w:rsidRDefault="135E4E7E" w:rsidP="77BE0170">
      <w:pPr>
        <w:spacing w:beforeAutospacing="1" w:afterAutospacing="1"/>
        <w:jc w:val="both"/>
        <w:rPr>
          <w:rFonts w:ascii="Calibri Light" w:eastAsia="Calibri Light" w:hAnsi="Calibri Light" w:cs="Calibri Light"/>
          <w:color w:val="000000" w:themeColor="text1"/>
          <w:sz w:val="24"/>
          <w:szCs w:val="24"/>
        </w:rPr>
      </w:pPr>
      <w:r w:rsidRPr="77BE0170">
        <w:rPr>
          <w:rFonts w:ascii="Calibri Light" w:eastAsia="Calibri Light" w:hAnsi="Calibri Light" w:cs="Calibri Light"/>
          <w:color w:val="000000" w:themeColor="text1"/>
          <w:sz w:val="24"/>
          <w:szCs w:val="24"/>
          <w:lang w:val="en-GB"/>
        </w:rPr>
        <w:t>The models are running on the cloud based FEWS system which includes geo-resilience. The forecast data from the HYPE model is now being sent directly to the IFICS and ANYWHERE systems. FFC staff have been trained in how to log on and troubleshoot issues with the FEWS. There is also a support contract from the FEWS Contractors.</w:t>
      </w:r>
    </w:p>
    <w:p w14:paraId="71F664CF" w14:textId="5511F9F6" w:rsidR="135E4E7E" w:rsidRDefault="135E4E7E" w:rsidP="77BE0170">
      <w:pPr>
        <w:pStyle w:val="ListParagraph"/>
        <w:keepNext/>
        <w:keepLines/>
        <w:numPr>
          <w:ilvl w:val="0"/>
          <w:numId w:val="15"/>
        </w:numPr>
        <w:spacing w:before="240" w:beforeAutospacing="1" w:after="0"/>
        <w:jc w:val="both"/>
        <w:rPr>
          <w:rFonts w:ascii="Calibri Light" w:eastAsia="Calibri Light" w:hAnsi="Calibri Light" w:cs="Calibri Light"/>
          <w:color w:val="2F5496" w:themeColor="accent1" w:themeShade="BF"/>
          <w:sz w:val="24"/>
          <w:szCs w:val="24"/>
        </w:rPr>
      </w:pPr>
      <w:r w:rsidRPr="77BE0170">
        <w:rPr>
          <w:rStyle w:val="Strong"/>
          <w:rFonts w:ascii="Calibri Light" w:eastAsia="Calibri Light" w:hAnsi="Calibri Light" w:cs="Calibri Light"/>
          <w:color w:val="2F5496" w:themeColor="accent1" w:themeShade="BF"/>
          <w:sz w:val="24"/>
          <w:szCs w:val="24"/>
        </w:rPr>
        <w:t>Development and Maintenance</w:t>
      </w:r>
    </w:p>
    <w:p w14:paraId="30B13418" w14:textId="7BE2ED8F" w:rsidR="135E4E7E" w:rsidRDefault="135E4E7E" w:rsidP="77BE0170">
      <w:pPr>
        <w:spacing w:beforeAutospacing="1" w:afterAutospacing="1"/>
        <w:jc w:val="both"/>
        <w:rPr>
          <w:rFonts w:ascii="Calibri" w:eastAsia="Calibri" w:hAnsi="Calibri" w:cs="Calibri"/>
          <w:color w:val="000000" w:themeColor="text1"/>
        </w:rPr>
      </w:pPr>
      <w:r w:rsidRPr="77BE0170">
        <w:rPr>
          <w:rFonts w:ascii="Calibri Light" w:eastAsia="Calibri Light" w:hAnsi="Calibri Light" w:cs="Calibri Light"/>
          <w:color w:val="000000" w:themeColor="text1"/>
          <w:sz w:val="24"/>
          <w:szCs w:val="24"/>
          <w:lang w:val="en-GB"/>
        </w:rPr>
        <w:t>Both the IFICS and Delft-FEWS systems, which support flood forecasting communications and fluvial forecasting respectively, are cloud based, have back-up systems and are geo resilient. They are both supported by their respective contractors via an on-call facility. The IFICS and FEWS maintenance contracts will be managed and reprocured, as necessary, by the FFC.</w:t>
      </w:r>
      <w:r w:rsidRPr="77BE0170">
        <w:rPr>
          <w:rStyle w:val="ui-provider"/>
          <w:rFonts w:ascii="Calibri" w:eastAsia="Calibri" w:hAnsi="Calibri" w:cs="Calibri"/>
          <w:color w:val="000000" w:themeColor="text1"/>
        </w:rPr>
        <w:t xml:space="preserve"> </w:t>
      </w:r>
    </w:p>
    <w:p w14:paraId="0752E58B" w14:textId="6E631EB0" w:rsidR="77BE0170" w:rsidRDefault="135E4E7E" w:rsidP="77BE0170">
      <w:pPr>
        <w:spacing w:beforeAutospacing="1" w:afterAutospacing="1"/>
        <w:jc w:val="both"/>
        <w:rPr>
          <w:rFonts w:ascii="Calibri Light" w:eastAsia="Calibri Light" w:hAnsi="Calibri Light" w:cs="Calibri Light"/>
          <w:color w:val="000000" w:themeColor="text1"/>
          <w:sz w:val="24"/>
          <w:szCs w:val="24"/>
        </w:rPr>
      </w:pPr>
      <w:r w:rsidRPr="77BE0170">
        <w:rPr>
          <w:rFonts w:ascii="Calibri Light" w:eastAsia="Calibri Light" w:hAnsi="Calibri Light" w:cs="Calibri Light"/>
          <w:color w:val="000000" w:themeColor="text1"/>
          <w:sz w:val="24"/>
          <w:szCs w:val="24"/>
          <w:lang w:val="en-GB"/>
        </w:rPr>
        <w:t xml:space="preserve">Ongoing development work will be required to improve these systems and improve the performance of the forecasting models. Development work will be guided by performance reviews. These reviews will be conducted by the FFD through statistical verification and skill score analysis of the flood forecasting system over time at forecast points coinciding with the locations of reliable flow rated gauges. The HYPE model forecasts are archived to support performance assessments. It is noted that the HYPE model and the FEWS integrator system have large international user communities. The FFC will use opportunities to collaborate </w:t>
      </w:r>
      <w:r w:rsidRPr="77BE0170">
        <w:rPr>
          <w:rFonts w:ascii="Calibri Light" w:eastAsia="Calibri Light" w:hAnsi="Calibri Light" w:cs="Calibri Light"/>
          <w:color w:val="000000" w:themeColor="text1"/>
          <w:sz w:val="24"/>
          <w:szCs w:val="24"/>
          <w:lang w:val="en-GB"/>
        </w:rPr>
        <w:lastRenderedPageBreak/>
        <w:t xml:space="preserve">internationally with other users and the developers to help ensure HYPE and FEWS remain in-line with best international practices and standards. </w:t>
      </w:r>
    </w:p>
    <w:p w14:paraId="7B842ECE" w14:textId="5FE7E4C2" w:rsidR="135E4E7E" w:rsidRDefault="135E4E7E" w:rsidP="77BE0170">
      <w:pPr>
        <w:spacing w:beforeAutospacing="1" w:afterAutospacing="1"/>
        <w:jc w:val="both"/>
        <w:rPr>
          <w:rFonts w:ascii="Calibri Light" w:eastAsia="Calibri Light" w:hAnsi="Calibri Light" w:cs="Calibri Light"/>
          <w:color w:val="2F5496" w:themeColor="accent1" w:themeShade="BF"/>
          <w:sz w:val="26"/>
          <w:szCs w:val="26"/>
        </w:rPr>
      </w:pPr>
      <w:r w:rsidRPr="77BE0170">
        <w:rPr>
          <w:rStyle w:val="Strong"/>
          <w:rFonts w:ascii="Calibri Light" w:eastAsia="Calibri Light" w:hAnsi="Calibri Light" w:cs="Calibri Light"/>
          <w:color w:val="2F5496" w:themeColor="accent1" w:themeShade="BF"/>
          <w:sz w:val="26"/>
          <w:szCs w:val="26"/>
        </w:rPr>
        <w:t xml:space="preserve">Appendix </w:t>
      </w:r>
      <w:r w:rsidR="28370E88" w:rsidRPr="77BE0170">
        <w:rPr>
          <w:rStyle w:val="Strong"/>
          <w:rFonts w:ascii="Calibri Light" w:eastAsia="Calibri Light" w:hAnsi="Calibri Light" w:cs="Calibri Light"/>
          <w:color w:val="2F5496" w:themeColor="accent1" w:themeShade="BF"/>
          <w:sz w:val="26"/>
          <w:szCs w:val="26"/>
        </w:rPr>
        <w:t>1.</w:t>
      </w:r>
      <w:r w:rsidRPr="77BE0170">
        <w:rPr>
          <w:rStyle w:val="Strong"/>
          <w:rFonts w:ascii="Calibri Light" w:eastAsia="Calibri Light" w:hAnsi="Calibri Light" w:cs="Calibri Light"/>
          <w:color w:val="2F5496" w:themeColor="accent1" w:themeShade="BF"/>
          <w:sz w:val="26"/>
          <w:szCs w:val="26"/>
        </w:rPr>
        <w:t>1: HYPE model performance during the non-operational trial</w:t>
      </w:r>
    </w:p>
    <w:p w14:paraId="2FA0ED22" w14:textId="3B79041B" w:rsidR="135E4E7E" w:rsidRDefault="135E4E7E" w:rsidP="77BE0170">
      <w:pPr>
        <w:jc w:val="both"/>
        <w:rPr>
          <w:rFonts w:ascii="Calibri Light" w:eastAsia="Calibri Light" w:hAnsi="Calibri Light" w:cs="Calibri Light"/>
          <w:color w:val="000000" w:themeColor="text1"/>
          <w:sz w:val="24"/>
          <w:szCs w:val="24"/>
        </w:rPr>
      </w:pPr>
      <w:r w:rsidRPr="77BE0170">
        <w:rPr>
          <w:rFonts w:ascii="Calibri Light" w:eastAsia="Calibri Light" w:hAnsi="Calibri Light" w:cs="Calibri Light"/>
          <w:color w:val="000000" w:themeColor="text1"/>
          <w:sz w:val="24"/>
          <w:szCs w:val="24"/>
          <w:lang w:val="en-GB"/>
        </w:rPr>
        <w:t>An evaluation of the HYPE hydrological model at gauged forecast points has been conducted using both observed and forecasted meteorological data. In the case of the former, the analysis provides an indication of model performance when run using observed data. This approach focuses on the hydrological model performance in isolation, without the influence of the NWP models and their associated errors and uncertainties. Conversely, assessing performance when the hydrological models are run using NWP data provides an indication of how the system performs in forecast mode - when the errors from the NWP are included along with their impact on overall performance. The latter is more relevant for the forecast information that stakeholders receive</w:t>
      </w:r>
    </w:p>
    <w:p w14:paraId="2B1A822E" w14:textId="1F813D6E" w:rsidR="135E4E7E" w:rsidRDefault="135E4E7E" w:rsidP="77BE0170">
      <w:pPr>
        <w:keepNext/>
        <w:keepLines/>
        <w:spacing w:before="40" w:beforeAutospacing="1" w:after="0" w:afterAutospacing="1"/>
        <w:jc w:val="both"/>
        <w:rPr>
          <w:rFonts w:ascii="Calibri Light" w:eastAsia="Calibri Light" w:hAnsi="Calibri Light" w:cs="Calibri Light"/>
          <w:color w:val="2F5496" w:themeColor="accent1" w:themeShade="BF"/>
          <w:sz w:val="26"/>
          <w:szCs w:val="26"/>
        </w:rPr>
      </w:pPr>
      <w:r w:rsidRPr="77BE0170">
        <w:rPr>
          <w:rStyle w:val="Strong"/>
          <w:rFonts w:ascii="Calibri Light" w:eastAsia="Calibri Light" w:hAnsi="Calibri Light" w:cs="Calibri Light"/>
          <w:color w:val="2F5496" w:themeColor="accent1" w:themeShade="BF"/>
          <w:sz w:val="26"/>
          <w:szCs w:val="26"/>
        </w:rPr>
        <w:t>Evaluation with observed meteorological data</w:t>
      </w:r>
    </w:p>
    <w:p w14:paraId="14F10EFB" w14:textId="44281B45" w:rsidR="135E4E7E" w:rsidRDefault="135E4E7E" w:rsidP="77BE0170">
      <w:pPr>
        <w:jc w:val="both"/>
        <w:rPr>
          <w:rFonts w:ascii="Calibri Light" w:eastAsia="Calibri Light" w:hAnsi="Calibri Light" w:cs="Calibri Light"/>
          <w:color w:val="000000" w:themeColor="text1"/>
          <w:sz w:val="24"/>
          <w:szCs w:val="24"/>
        </w:rPr>
      </w:pPr>
      <w:r w:rsidRPr="77BE0170">
        <w:rPr>
          <w:rFonts w:ascii="Calibri Light" w:eastAsia="Calibri Light" w:hAnsi="Calibri Light" w:cs="Calibri Light"/>
          <w:color w:val="000000" w:themeColor="text1"/>
          <w:sz w:val="24"/>
          <w:szCs w:val="24"/>
          <w:lang w:val="en-GB"/>
        </w:rPr>
        <w:t xml:space="preserve">Models were evaluated against observed discharge data from the OPW archive, in total 132 are used for the period 2016-2021. The performance of the model for each gauge location is best summarized using the Kling-Gupta Efficiency (KGE) criterion. However, it is important to note that a high KGE score does not necessarily mean that the model is perfect, and performance should be evaluated using multiple metrics and methods. In general, a KGE score of 0.8 or higher is considered ‘satisfactory,’ indicating a reasonable match between the modelled and observed data. </w:t>
      </w:r>
    </w:p>
    <w:p w14:paraId="07EC517F" w14:textId="2E113ECA" w:rsidR="135E4E7E" w:rsidRDefault="135E4E7E" w:rsidP="77BE0170">
      <w:pPr>
        <w:jc w:val="both"/>
        <w:rPr>
          <w:rFonts w:ascii="Calibri Light" w:eastAsia="Calibri Light" w:hAnsi="Calibri Light" w:cs="Calibri Light"/>
          <w:color w:val="000000" w:themeColor="text1"/>
          <w:sz w:val="24"/>
          <w:szCs w:val="24"/>
        </w:rPr>
      </w:pPr>
      <w:r w:rsidRPr="77BE0170">
        <w:rPr>
          <w:rFonts w:ascii="Calibri Light" w:eastAsia="Calibri Light" w:hAnsi="Calibri Light" w:cs="Calibri Light"/>
          <w:color w:val="000000" w:themeColor="text1"/>
          <w:sz w:val="24"/>
          <w:szCs w:val="24"/>
          <w:lang w:val="en-GB"/>
        </w:rPr>
        <w:t>Figure 1 shows the KGE scores for all OPW gauges used in the model evaluation. Of the 132 gauged locations considered for modelling, only 23 (~20%) are classified as ‘Satisfactory’, with 72 (~55%) labelled ‘Fair’. The remaining 37 (~25%) are ‘Very Poor’ to ‘Marginal’. It is shown that several Hydrometric Areas (15) do not have gauges, which fall in either of these categories. This is due to a combination of the model not performing well for this area, and/or there may be no flow rated OPW gauges to calibrate and evaluate the model. There is an uneven distribution of well performing gauge locations, with most of the well performing gauged locations being in the Shannon, Boyne, Suir and Barrow.</w:t>
      </w:r>
    </w:p>
    <w:p w14:paraId="1D224497" w14:textId="5017FB6C" w:rsidR="135E4E7E" w:rsidRDefault="135E4E7E" w:rsidP="77BE0170">
      <w:pPr>
        <w:spacing w:line="276" w:lineRule="auto"/>
        <w:rPr>
          <w:rFonts w:ascii="Calibri" w:eastAsia="Calibri" w:hAnsi="Calibri" w:cs="Calibri"/>
          <w:color w:val="000000" w:themeColor="text1"/>
        </w:rPr>
      </w:pPr>
      <w:r>
        <w:rPr>
          <w:noProof/>
          <w:lang w:eastAsia="en-IE"/>
        </w:rPr>
        <w:lastRenderedPageBreak/>
        <w:drawing>
          <wp:inline distT="0" distB="0" distL="0" distR="0" wp14:anchorId="165AD2A5" wp14:editId="4913B8B6">
            <wp:extent cx="5724524" cy="8096248"/>
            <wp:effectExtent l="0" t="0" r="0" b="0"/>
            <wp:docPr id="1239084690" name="Picture 1239084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5724524" cy="8096248"/>
                    </a:xfrm>
                    <a:prstGeom prst="rect">
                      <a:avLst/>
                    </a:prstGeom>
                  </pic:spPr>
                </pic:pic>
              </a:graphicData>
            </a:graphic>
          </wp:inline>
        </w:drawing>
      </w:r>
    </w:p>
    <w:p w14:paraId="3FFA063F" w14:textId="0EB03412" w:rsidR="135E4E7E" w:rsidRDefault="135E4E7E" w:rsidP="77BE0170">
      <w:pPr>
        <w:spacing w:line="276" w:lineRule="auto"/>
        <w:rPr>
          <w:rFonts w:ascii="Calibri Light" w:eastAsia="Calibri Light" w:hAnsi="Calibri Light" w:cs="Calibri Light"/>
          <w:color w:val="4472C4" w:themeColor="accent1"/>
          <w:sz w:val="18"/>
          <w:szCs w:val="18"/>
        </w:rPr>
      </w:pPr>
      <w:r w:rsidRPr="77BE0170">
        <w:rPr>
          <w:rFonts w:ascii="Calibri Light" w:eastAsia="Calibri Light" w:hAnsi="Calibri Light" w:cs="Calibri Light"/>
          <w:color w:val="4472C4" w:themeColor="accent1"/>
          <w:sz w:val="18"/>
          <w:szCs w:val="18"/>
          <w:lang w:val="en"/>
        </w:rPr>
        <w:t>Figure 1 Kling-Gupta Efficiency (KGE) scores estimated for each gauge using observed and simulated discharge for the period 2016-2021. KGE values are calculated using the complete time series.</w:t>
      </w:r>
    </w:p>
    <w:p w14:paraId="7471108C" w14:textId="6ADE4E45" w:rsidR="77BE0170" w:rsidRDefault="77BE0170" w:rsidP="77BE0170">
      <w:pPr>
        <w:spacing w:line="276" w:lineRule="auto"/>
        <w:rPr>
          <w:rFonts w:ascii="Calibri" w:eastAsia="Calibri" w:hAnsi="Calibri" w:cs="Calibri"/>
          <w:color w:val="000000" w:themeColor="text1"/>
        </w:rPr>
      </w:pPr>
    </w:p>
    <w:p w14:paraId="142872FA" w14:textId="7A17D3BD" w:rsidR="135E4E7E" w:rsidRDefault="135E4E7E" w:rsidP="77BE0170">
      <w:pPr>
        <w:keepNext/>
        <w:keepLines/>
        <w:spacing w:before="40" w:beforeAutospacing="1" w:after="0" w:afterAutospacing="1"/>
        <w:jc w:val="both"/>
        <w:rPr>
          <w:rFonts w:ascii="Calibri Light" w:eastAsia="Calibri Light" w:hAnsi="Calibri Light" w:cs="Calibri Light"/>
          <w:color w:val="2F5496" w:themeColor="accent1" w:themeShade="BF"/>
          <w:sz w:val="26"/>
          <w:szCs w:val="26"/>
        </w:rPr>
      </w:pPr>
      <w:r w:rsidRPr="77BE0170">
        <w:rPr>
          <w:rStyle w:val="Strong"/>
          <w:rFonts w:ascii="Calibri Light" w:eastAsia="Calibri Light" w:hAnsi="Calibri Light" w:cs="Calibri Light"/>
          <w:color w:val="2F5496" w:themeColor="accent1" w:themeShade="BF"/>
          <w:sz w:val="26"/>
          <w:szCs w:val="26"/>
        </w:rPr>
        <w:lastRenderedPageBreak/>
        <w:t>Verification with forecasted (NWP) meteorological data</w:t>
      </w:r>
    </w:p>
    <w:p w14:paraId="1B722FE7" w14:textId="75C4E878" w:rsidR="135E4E7E" w:rsidRDefault="135E4E7E" w:rsidP="77BE0170">
      <w:pPr>
        <w:jc w:val="both"/>
        <w:rPr>
          <w:rFonts w:ascii="Calibri Light" w:eastAsia="Calibri Light" w:hAnsi="Calibri Light" w:cs="Calibri Light"/>
          <w:color w:val="000000" w:themeColor="text1"/>
          <w:sz w:val="24"/>
          <w:szCs w:val="24"/>
        </w:rPr>
      </w:pPr>
      <w:r w:rsidRPr="77BE0170">
        <w:rPr>
          <w:rFonts w:ascii="Calibri Light" w:eastAsia="Calibri Light" w:hAnsi="Calibri Light" w:cs="Calibri Light"/>
          <w:color w:val="000000" w:themeColor="text1"/>
          <w:sz w:val="24"/>
          <w:szCs w:val="24"/>
          <w:lang w:val="en-GB"/>
        </w:rPr>
        <w:t>The verification process involves comparing the predictions of the hydrological model, executed using real-time forecasts from NWP models, with historical flood events or observed data. This comparative analysis facilitates the assessment of the river flood forecasting system's overall performance when in forecast mode - in terms of reproducing the timing, magnitude, and spatial distribution of floods. This approach allows for a comprehensive evaluation of the system's effectiveness in capturing the dynamic interactions of weather events that lead to flooding.</w:t>
      </w:r>
    </w:p>
    <w:p w14:paraId="2D7D3E41" w14:textId="4444081D" w:rsidR="135E4E7E" w:rsidRDefault="135E4E7E" w:rsidP="77BE0170">
      <w:pPr>
        <w:jc w:val="both"/>
        <w:rPr>
          <w:rFonts w:ascii="Calibri Light" w:eastAsia="Calibri Light" w:hAnsi="Calibri Light" w:cs="Calibri Light"/>
          <w:color w:val="000000" w:themeColor="text1"/>
          <w:sz w:val="24"/>
          <w:szCs w:val="24"/>
        </w:rPr>
      </w:pPr>
      <w:r w:rsidRPr="77BE0170">
        <w:rPr>
          <w:rFonts w:ascii="Calibri Light" w:eastAsia="Calibri Light" w:hAnsi="Calibri Light" w:cs="Calibri Light"/>
          <w:color w:val="000000" w:themeColor="text1"/>
          <w:sz w:val="24"/>
          <w:szCs w:val="24"/>
          <w:lang w:val="en-GB"/>
        </w:rPr>
        <w:t>During the trial period of the fluvial forecasting system, spanning from January 2022 to July 2023, the forecasted hydrological information was compared with observed river discharge. A dataset of 136 gauging stations obtained from the OPW archive was utilized for this evaluation. The modeling system's performance was specifically assessed when forced with real meteorological forecast data sourced from Met Éireann's Harmonie NWP model. This configuration provided a maximum lead time of 54 hours to anticipate potential flood events. For the purpose of this assessment, the modeling system's capability to forecast observed hourly river discharge within a 24-30 hour timeframe in advance was considered.</w:t>
      </w:r>
    </w:p>
    <w:p w14:paraId="128AB4FA" w14:textId="1C9FBE1F" w:rsidR="135E4E7E" w:rsidRDefault="135E4E7E" w:rsidP="77BE0170">
      <w:pPr>
        <w:jc w:val="both"/>
        <w:rPr>
          <w:rFonts w:ascii="Calibri Light" w:eastAsia="Calibri Light" w:hAnsi="Calibri Light" w:cs="Calibri Light"/>
          <w:color w:val="000000" w:themeColor="text1"/>
          <w:sz w:val="24"/>
          <w:szCs w:val="24"/>
        </w:rPr>
      </w:pPr>
      <w:r w:rsidRPr="77BE0170">
        <w:rPr>
          <w:rFonts w:ascii="Calibri Light" w:eastAsia="Calibri Light" w:hAnsi="Calibri Light" w:cs="Calibri Light"/>
          <w:color w:val="000000" w:themeColor="text1"/>
          <w:sz w:val="24"/>
          <w:szCs w:val="24"/>
          <w:lang w:val="en-GB"/>
        </w:rPr>
        <w:t>As above the performance of the system for each gauge location was summarized using the Kling-Gupta Efficiency (KGE) criterion. It is important to note that a high KGE score does not necessary indicate a high level of model precision. A diverse set of metrics is required to provide a good overall assessment of performance. It is also important to note that the verification is undertaken over a relatively short period of ~18 months, encompassing only one winter season when the majority of flood events occur. Hence there are limitations on the type of metrics which could be used and the magnitude of events considered.</w:t>
      </w:r>
    </w:p>
    <w:p w14:paraId="73183910" w14:textId="250EC509" w:rsidR="135E4E7E" w:rsidRDefault="135E4E7E" w:rsidP="77BE0170">
      <w:pPr>
        <w:jc w:val="both"/>
        <w:rPr>
          <w:rFonts w:ascii="Calibri Light" w:eastAsia="Calibri Light" w:hAnsi="Calibri Light" w:cs="Calibri Light"/>
          <w:color w:val="000000" w:themeColor="text1"/>
          <w:sz w:val="24"/>
          <w:szCs w:val="24"/>
        </w:rPr>
      </w:pPr>
      <w:r w:rsidRPr="77BE0170">
        <w:rPr>
          <w:rFonts w:ascii="Calibri Light" w:eastAsia="Calibri Light" w:hAnsi="Calibri Light" w:cs="Calibri Light"/>
          <w:color w:val="000000" w:themeColor="text1"/>
          <w:sz w:val="24"/>
          <w:szCs w:val="24"/>
          <w:lang w:val="en-GB"/>
        </w:rPr>
        <w:t>Figure 2 shows the KGE scores for each of the OPW gauges used in the verification process. Of the 136 gauged locations included, 41 (~30%) are classified as ‘Satisfactory’, with 40 (~30%) labelled ‘Fair’. The remaining 37 (~40%) are ‘Very Poor’ to ‘Marginal’. Similar to the evaluation in section 5.5.1, it is evident that a number of Hydrometric Areas do not have gauges which fall in either the ‘Satisfactory’ or ‘Fair’ categories. It is evident that there are a number of areas for which better quality forecasts could be provided during the ~18 month trial period. Similar to the long term evaluation above, most of the well performing gauged locations are in the Shannon, Boyne, Suir and Barrow.</w:t>
      </w:r>
    </w:p>
    <w:p w14:paraId="67A936AE" w14:textId="29E76ED6" w:rsidR="135E4E7E" w:rsidRDefault="135E4E7E" w:rsidP="77BE0170">
      <w:pPr>
        <w:rPr>
          <w:rFonts w:ascii="Calibri" w:eastAsia="Calibri" w:hAnsi="Calibri" w:cs="Calibri"/>
          <w:color w:val="000000" w:themeColor="text1"/>
        </w:rPr>
      </w:pPr>
      <w:r>
        <w:rPr>
          <w:noProof/>
          <w:lang w:eastAsia="en-IE"/>
        </w:rPr>
        <w:lastRenderedPageBreak/>
        <w:drawing>
          <wp:inline distT="0" distB="0" distL="0" distR="0" wp14:anchorId="09892FE2" wp14:editId="4D72CF54">
            <wp:extent cx="5724524" cy="8096248"/>
            <wp:effectExtent l="0" t="0" r="0" b="0"/>
            <wp:docPr id="1305221478" name="Picture 1305221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5724524" cy="8096248"/>
                    </a:xfrm>
                    <a:prstGeom prst="rect">
                      <a:avLst/>
                    </a:prstGeom>
                  </pic:spPr>
                </pic:pic>
              </a:graphicData>
            </a:graphic>
          </wp:inline>
        </w:drawing>
      </w:r>
    </w:p>
    <w:p w14:paraId="20338C87" w14:textId="224324A8" w:rsidR="135E4E7E" w:rsidRDefault="135E4E7E" w:rsidP="77BE0170">
      <w:pPr>
        <w:spacing w:line="276" w:lineRule="auto"/>
        <w:rPr>
          <w:rFonts w:ascii="Calibri Light" w:eastAsia="Calibri Light" w:hAnsi="Calibri Light" w:cs="Calibri Light"/>
          <w:color w:val="4472C4" w:themeColor="accent1"/>
          <w:sz w:val="18"/>
          <w:szCs w:val="18"/>
        </w:rPr>
      </w:pPr>
      <w:r w:rsidRPr="77BE0170">
        <w:rPr>
          <w:rFonts w:ascii="Calibri Light" w:eastAsia="Calibri Light" w:hAnsi="Calibri Light" w:cs="Calibri Light"/>
          <w:color w:val="4472C4" w:themeColor="accent1"/>
          <w:sz w:val="18"/>
          <w:szCs w:val="18"/>
          <w:lang w:val="en"/>
        </w:rPr>
        <w:t>Figure 2 Kling-Gupta Efficiency (KGE) scores estimated for each gauge using observed and forecasted hourly discharge for the period January 2022 - July 2023. A comparison is made with model forecasts having a 24-30 hour lead time.</w:t>
      </w:r>
    </w:p>
    <w:p w14:paraId="69F92926" w14:textId="77777777" w:rsidR="00003380" w:rsidRDefault="00003380" w:rsidP="77BE0170">
      <w:pPr>
        <w:spacing w:line="276" w:lineRule="auto"/>
        <w:rPr>
          <w:rStyle w:val="Strong"/>
          <w:rFonts w:ascii="Calibri Light" w:eastAsia="Calibri Light" w:hAnsi="Calibri Light" w:cs="Calibri Light"/>
          <w:color w:val="2F5496" w:themeColor="accent1" w:themeShade="BF"/>
          <w:sz w:val="26"/>
          <w:szCs w:val="26"/>
        </w:rPr>
      </w:pPr>
    </w:p>
    <w:p w14:paraId="7BBD3FF8" w14:textId="6E91C9D7" w:rsidR="135E4E7E" w:rsidRDefault="135E4E7E" w:rsidP="77BE0170">
      <w:pPr>
        <w:spacing w:line="276" w:lineRule="auto"/>
        <w:rPr>
          <w:rFonts w:ascii="Calibri Light" w:eastAsia="Calibri Light" w:hAnsi="Calibri Light" w:cs="Calibri Light"/>
          <w:color w:val="2F5496" w:themeColor="accent1" w:themeShade="BF"/>
          <w:sz w:val="26"/>
          <w:szCs w:val="26"/>
        </w:rPr>
      </w:pPr>
      <w:r w:rsidRPr="77BE0170">
        <w:rPr>
          <w:rStyle w:val="Strong"/>
          <w:rFonts w:ascii="Calibri Light" w:eastAsia="Calibri Light" w:hAnsi="Calibri Light" w:cs="Calibri Light"/>
          <w:color w:val="2F5496" w:themeColor="accent1" w:themeShade="BF"/>
          <w:sz w:val="26"/>
          <w:szCs w:val="26"/>
        </w:rPr>
        <w:lastRenderedPageBreak/>
        <w:t xml:space="preserve">Conclusion &amp; Recommendations </w:t>
      </w:r>
    </w:p>
    <w:p w14:paraId="21C5BBDA" w14:textId="3E0FFDB9" w:rsidR="135E4E7E" w:rsidRDefault="135E4E7E" w:rsidP="77BE0170">
      <w:pPr>
        <w:jc w:val="both"/>
        <w:rPr>
          <w:rFonts w:ascii="Calibri Light" w:eastAsia="Calibri Light" w:hAnsi="Calibri Light" w:cs="Calibri Light"/>
          <w:color w:val="000000" w:themeColor="text1"/>
          <w:sz w:val="24"/>
          <w:szCs w:val="24"/>
        </w:rPr>
      </w:pPr>
      <w:r w:rsidRPr="77BE0170">
        <w:rPr>
          <w:rFonts w:ascii="Calibri Light" w:eastAsia="Calibri Light" w:hAnsi="Calibri Light" w:cs="Calibri Light"/>
          <w:color w:val="000000" w:themeColor="text1"/>
          <w:sz w:val="24"/>
          <w:szCs w:val="24"/>
          <w:lang w:val="en-GB"/>
        </w:rPr>
        <w:t xml:space="preserve">Significant progress has been made in the development of an operational national and catchment scale fluvial flood forecasting system. This includes the model selection process, the leveraging of existing observational networks, model calibration and the establishment of an operational ensemble-based system running on the cloud 24/7, capable of providing actionable forecast information to stakeholders. </w:t>
      </w:r>
    </w:p>
    <w:p w14:paraId="7748A789" w14:textId="65E25D94" w:rsidR="135E4E7E" w:rsidRDefault="135E4E7E" w:rsidP="77BE0170">
      <w:pPr>
        <w:jc w:val="both"/>
        <w:rPr>
          <w:rFonts w:ascii="Calibri Light" w:eastAsia="Calibri Light" w:hAnsi="Calibri Light" w:cs="Calibri Light"/>
          <w:color w:val="000000" w:themeColor="text1"/>
          <w:sz w:val="24"/>
          <w:szCs w:val="24"/>
          <w:lang w:val="en-GB"/>
        </w:rPr>
      </w:pPr>
      <w:r w:rsidRPr="77BE0170">
        <w:rPr>
          <w:rFonts w:ascii="Calibri Light" w:eastAsia="Calibri Light" w:hAnsi="Calibri Light" w:cs="Calibri Light"/>
          <w:color w:val="000000" w:themeColor="text1"/>
          <w:sz w:val="24"/>
          <w:szCs w:val="24"/>
          <w:lang w:val="en-GB"/>
        </w:rPr>
        <w:t>It is recommended that Version II of the river forecast model is developed and continuous improvements are integrated. To provide a greater level of detail in the forecasts, it will be necessary to undertake iterative improvements to the overall forecasting system on an ongoing basis – this is the experience of the HYPE model developers (SMHI).</w:t>
      </w:r>
    </w:p>
    <w:p w14:paraId="4931212E" w14:textId="14D30540" w:rsidR="77BE0170" w:rsidRDefault="77BE0170">
      <w:r>
        <w:br w:type="page"/>
      </w:r>
    </w:p>
    <w:p w14:paraId="48850716" w14:textId="7194CA75" w:rsidR="77BE0170" w:rsidRDefault="0264DF0D" w:rsidP="77BE0170">
      <w:pPr>
        <w:spacing w:beforeAutospacing="1" w:afterAutospacing="1"/>
        <w:jc w:val="both"/>
        <w:rPr>
          <w:rFonts w:ascii="Calibri Light" w:eastAsia="Calibri Light" w:hAnsi="Calibri Light" w:cs="Calibri Light"/>
          <w:b/>
          <w:bCs/>
          <w:color w:val="000000" w:themeColor="text1"/>
          <w:sz w:val="24"/>
          <w:szCs w:val="24"/>
          <w:lang w:val="en-GB"/>
        </w:rPr>
      </w:pPr>
      <w:r w:rsidRPr="77BE0170">
        <w:rPr>
          <w:rFonts w:ascii="Calibri Light" w:eastAsia="Calibri Light" w:hAnsi="Calibri Light" w:cs="Calibri Light"/>
          <w:b/>
          <w:bCs/>
          <w:color w:val="000000" w:themeColor="text1"/>
          <w:sz w:val="24"/>
          <w:szCs w:val="24"/>
        </w:rPr>
        <w:lastRenderedPageBreak/>
        <w:t xml:space="preserve">Appendix 2: </w:t>
      </w:r>
      <w:r w:rsidR="7A0A5246" w:rsidRPr="77BE0170">
        <w:rPr>
          <w:rFonts w:ascii="Calibri Light" w:eastAsia="Calibri Light" w:hAnsi="Calibri Light" w:cs="Calibri Light"/>
          <w:b/>
          <w:bCs/>
          <w:color w:val="000000" w:themeColor="text1"/>
          <w:sz w:val="24"/>
          <w:szCs w:val="24"/>
          <w:lang w:val="en-GB"/>
        </w:rPr>
        <w:t>Coastal Flood Forecasting System</w:t>
      </w:r>
    </w:p>
    <w:p w14:paraId="67F16E24" w14:textId="6E398260" w:rsidR="7A0A5246" w:rsidRDefault="7A0A5246" w:rsidP="77BE0170">
      <w:pPr>
        <w:keepNext/>
        <w:keepLines/>
        <w:spacing w:before="40" w:beforeAutospacing="1" w:after="0" w:afterAutospacing="1"/>
        <w:jc w:val="both"/>
        <w:rPr>
          <w:rFonts w:ascii="Calibri Light" w:eastAsia="Calibri Light" w:hAnsi="Calibri Light" w:cs="Calibri Light"/>
          <w:color w:val="2F5496" w:themeColor="accent1" w:themeShade="BF"/>
          <w:sz w:val="24"/>
          <w:szCs w:val="24"/>
        </w:rPr>
      </w:pPr>
      <w:r w:rsidRPr="77BE0170">
        <w:rPr>
          <w:rStyle w:val="Strong"/>
          <w:rFonts w:ascii="Calibri Light" w:eastAsia="Calibri Light" w:hAnsi="Calibri Light" w:cs="Calibri Light"/>
          <w:color w:val="2F5496" w:themeColor="accent1" w:themeShade="BF"/>
          <w:sz w:val="24"/>
          <w:szCs w:val="24"/>
        </w:rPr>
        <w:t>Overview  </w:t>
      </w:r>
    </w:p>
    <w:p w14:paraId="1FA8A8A9" w14:textId="1DC29A13" w:rsidR="7A0A5246" w:rsidRDefault="7A0A5246" w:rsidP="77BE0170">
      <w:pPr>
        <w:spacing w:beforeAutospacing="1" w:afterAutospacing="1"/>
        <w:jc w:val="both"/>
        <w:rPr>
          <w:rFonts w:ascii="Calibri Light" w:eastAsia="Calibri Light" w:hAnsi="Calibri Light" w:cs="Calibri Light"/>
          <w:color w:val="000000" w:themeColor="text1"/>
          <w:sz w:val="24"/>
          <w:szCs w:val="24"/>
        </w:rPr>
      </w:pPr>
      <w:r w:rsidRPr="77BE0170">
        <w:rPr>
          <w:rFonts w:ascii="Calibri Light" w:eastAsia="Calibri Light" w:hAnsi="Calibri Light" w:cs="Calibri Light"/>
          <w:color w:val="000000" w:themeColor="text1"/>
          <w:sz w:val="24"/>
          <w:szCs w:val="24"/>
        </w:rPr>
        <w:t xml:space="preserve">The purpose of this document is to describe the Tidal and Storm Surge Forecast (TSSF) Model the FFD will use as the operational coastal flood forecasting system in the Flood Forecast Centre (FFC). </w:t>
      </w:r>
    </w:p>
    <w:p w14:paraId="0FAEACCA" w14:textId="0550D3CC" w:rsidR="7A0A5246" w:rsidRDefault="7A0A5246" w:rsidP="77BE0170">
      <w:pPr>
        <w:pStyle w:val="Heading1"/>
        <w:spacing w:afterAutospacing="1"/>
        <w:rPr>
          <w:rFonts w:ascii="Calibri Light" w:eastAsia="Calibri Light" w:hAnsi="Calibri Light" w:cs="Calibri Light"/>
          <w:sz w:val="24"/>
          <w:szCs w:val="24"/>
        </w:rPr>
      </w:pPr>
      <w:r w:rsidRPr="77BE0170">
        <w:rPr>
          <w:rFonts w:ascii="Calibri Light" w:eastAsia="Calibri Light" w:hAnsi="Calibri Light" w:cs="Calibri Light"/>
          <w:b/>
          <w:bCs/>
          <w:sz w:val="24"/>
          <w:szCs w:val="24"/>
          <w:lang w:val="en-GB"/>
        </w:rPr>
        <w:t>Background</w:t>
      </w:r>
    </w:p>
    <w:p w14:paraId="5D923979" w14:textId="7427E11D" w:rsidR="77BE0170" w:rsidRPr="0036386B" w:rsidRDefault="7A0A5246" w:rsidP="77BE0170">
      <w:pPr>
        <w:spacing w:afterAutospacing="1"/>
        <w:jc w:val="both"/>
        <w:rPr>
          <w:rFonts w:ascii="Calibri Light" w:eastAsia="Calibri Light" w:hAnsi="Calibri Light" w:cs="Calibri Light"/>
          <w:color w:val="000000" w:themeColor="text1"/>
          <w:sz w:val="24"/>
          <w:szCs w:val="24"/>
        </w:rPr>
      </w:pPr>
      <w:r w:rsidRPr="77BE0170">
        <w:rPr>
          <w:rFonts w:ascii="Calibri Light" w:eastAsia="Calibri Light" w:hAnsi="Calibri Light" w:cs="Calibri Light"/>
          <w:color w:val="000000" w:themeColor="text1"/>
          <w:sz w:val="24"/>
          <w:szCs w:val="24"/>
          <w:lang w:val="en-GB"/>
        </w:rPr>
        <w:t>The OPW ran the TSSF model as part of the TSSF Service for over a decade. The model was used to provide forecasts for coastal water and to provide guidance for the issuing of High Tide Advisories. Met Éireann agreed to trial the TSSF model on the ECMWF High Performance Computing Centre. This trial was successful, and it was agreed that Met Éireann would take over responsibility for running the TSSF model as a time-critical system at ECMWF. The aim that it would become part of the Flood Forecast Centre’s suite of operational flood forecast models.</w:t>
      </w:r>
    </w:p>
    <w:p w14:paraId="143F3989" w14:textId="0A93640D" w:rsidR="7A0A5246" w:rsidRDefault="7A0A5246" w:rsidP="77BE0170">
      <w:pPr>
        <w:jc w:val="both"/>
        <w:rPr>
          <w:rFonts w:ascii="Calibri Light" w:eastAsia="Calibri Light" w:hAnsi="Calibri Light" w:cs="Calibri Light"/>
          <w:color w:val="000000" w:themeColor="text1"/>
          <w:sz w:val="24"/>
          <w:szCs w:val="24"/>
        </w:rPr>
      </w:pPr>
      <w:r w:rsidRPr="77BE0170">
        <w:rPr>
          <w:rFonts w:ascii="Calibri Light" w:eastAsia="Calibri Light" w:hAnsi="Calibri Light" w:cs="Calibri Light"/>
          <w:color w:val="000000" w:themeColor="text1"/>
          <w:sz w:val="24"/>
          <w:szCs w:val="24"/>
          <w:lang w:val="en-GB"/>
        </w:rPr>
        <w:t>The TSSF model uses software developed by DHI (</w:t>
      </w:r>
      <w:hyperlink r:id="rId13" w:history="1">
        <w:r w:rsidRPr="77BE0170">
          <w:rPr>
            <w:rStyle w:val="Hyperlink"/>
            <w:rFonts w:ascii="Calibri Light" w:eastAsia="Calibri Light" w:hAnsi="Calibri Light" w:cs="Calibri Light"/>
            <w:sz w:val="24"/>
            <w:szCs w:val="24"/>
            <w:lang w:val="en-GB"/>
          </w:rPr>
          <w:t>Danish Hydraulic Institute</w:t>
        </w:r>
      </w:hyperlink>
      <w:r w:rsidRPr="77BE0170">
        <w:rPr>
          <w:rFonts w:ascii="Calibri Light" w:eastAsia="Calibri Light" w:hAnsi="Calibri Light" w:cs="Calibri Light"/>
          <w:color w:val="000000" w:themeColor="text1"/>
          <w:sz w:val="24"/>
          <w:szCs w:val="24"/>
          <w:lang w:val="en-GB"/>
        </w:rPr>
        <w:t>), which has been set-up for the Irish coastline by RPS Ltd. The TSSF was transferred from RPS computer systems by Met Éireann and now runs on ECMWF’s HPC (High-Performance Computing) environment in Bologna Italy. The Tidal and Storm Surge Forecasting element involves the provision of three daily forecasts for 18 national scale coastal forecast points and more detailed forecasts at 5 additional locations including Cork Harbour, Dundalk Bay, Galway Bay, Shannon Estuary and Wexford Harbour. The forecast runs consist of two daily (am and pm) short range forecasts of astronomical tide, surge residual and combined tide and surge (total water level), and one daily (am only) medium range forecast of surge residual over an extended forecasting period. The short-range forecasts predict water levels for 72 hours into the future, with the medium range forecasts extending out to 144 hours, i.e. 6 days ahead. This is the same schedule of runs historically performed by RPS.</w:t>
      </w:r>
    </w:p>
    <w:p w14:paraId="0232F5F2" w14:textId="0C596BEF" w:rsidR="7A0A5246" w:rsidRDefault="7A0A5246" w:rsidP="77BE0170">
      <w:pPr>
        <w:pStyle w:val="Heading1"/>
        <w:spacing w:afterAutospacing="1"/>
        <w:rPr>
          <w:rFonts w:ascii="Calibri Light" w:eastAsia="Calibri Light" w:hAnsi="Calibri Light" w:cs="Calibri Light"/>
          <w:sz w:val="24"/>
          <w:szCs w:val="24"/>
        </w:rPr>
      </w:pPr>
      <w:r w:rsidRPr="77BE0170">
        <w:rPr>
          <w:rFonts w:ascii="Calibri Light" w:eastAsia="Calibri Light" w:hAnsi="Calibri Light" w:cs="Calibri Light"/>
          <w:b/>
          <w:bCs/>
          <w:sz w:val="24"/>
          <w:szCs w:val="24"/>
          <w:lang w:val="en-GB"/>
        </w:rPr>
        <w:t>Review and Trial of the TSSF model</w:t>
      </w:r>
    </w:p>
    <w:p w14:paraId="48543759" w14:textId="7110050D" w:rsidR="7A0A5246" w:rsidRDefault="7A0A5246" w:rsidP="77BE0170">
      <w:pPr>
        <w:spacing w:afterAutospacing="1"/>
        <w:jc w:val="both"/>
        <w:rPr>
          <w:rFonts w:ascii="Calibri Light" w:eastAsia="Calibri Light" w:hAnsi="Calibri Light" w:cs="Calibri Light"/>
          <w:color w:val="000000" w:themeColor="text1"/>
          <w:sz w:val="24"/>
          <w:szCs w:val="24"/>
        </w:rPr>
      </w:pPr>
      <w:r w:rsidRPr="77BE0170">
        <w:rPr>
          <w:rFonts w:ascii="Calibri Light" w:eastAsia="Calibri Light" w:hAnsi="Calibri Light" w:cs="Calibri Light"/>
          <w:color w:val="000000" w:themeColor="text1"/>
          <w:sz w:val="24"/>
          <w:szCs w:val="24"/>
          <w:lang w:val="en-GB"/>
        </w:rPr>
        <w:t>The FFD produced a report in collaboration with the third party (RPS Ltd.) who ran the TSSF model for the OPW. They provided details on the model’s performance and recommendations on how to improve the TSSF model. In addition, Met Éireann conducted a performance review of the TSSF model during a non-operational trial (2022-2023).</w:t>
      </w:r>
    </w:p>
    <w:p w14:paraId="5BE5DCB4" w14:textId="0C970F72" w:rsidR="7A0A5246" w:rsidRDefault="7A0A5246" w:rsidP="77BE0170">
      <w:pPr>
        <w:pStyle w:val="Heading1"/>
        <w:spacing w:afterAutospacing="1"/>
        <w:rPr>
          <w:rFonts w:ascii="Calibri Light" w:eastAsia="Calibri Light" w:hAnsi="Calibri Light" w:cs="Calibri Light"/>
          <w:sz w:val="24"/>
          <w:szCs w:val="24"/>
        </w:rPr>
      </w:pPr>
      <w:r w:rsidRPr="77BE0170">
        <w:rPr>
          <w:rFonts w:ascii="Calibri Light" w:eastAsia="Calibri Light" w:hAnsi="Calibri Light" w:cs="Calibri Light"/>
          <w:b/>
          <w:bCs/>
          <w:sz w:val="24"/>
          <w:szCs w:val="24"/>
          <w:lang w:val="en-GB"/>
        </w:rPr>
        <w:t>Standards and Limitations</w:t>
      </w:r>
    </w:p>
    <w:p w14:paraId="13A1F343" w14:textId="43E50AAD" w:rsidR="7A0A5246" w:rsidRDefault="7A0A5246" w:rsidP="77BE0170">
      <w:pPr>
        <w:spacing w:afterAutospacing="1"/>
        <w:jc w:val="both"/>
        <w:rPr>
          <w:rFonts w:ascii="Calibri Light" w:eastAsia="Calibri Light" w:hAnsi="Calibri Light" w:cs="Calibri Light"/>
          <w:color w:val="000000" w:themeColor="text1"/>
          <w:sz w:val="24"/>
          <w:szCs w:val="24"/>
        </w:rPr>
      </w:pPr>
      <w:r w:rsidRPr="77BE0170">
        <w:rPr>
          <w:rFonts w:ascii="Calibri Light" w:eastAsia="Calibri Light" w:hAnsi="Calibri Light" w:cs="Calibri Light"/>
          <w:color w:val="000000" w:themeColor="text1"/>
          <w:sz w:val="24"/>
          <w:szCs w:val="24"/>
          <w:lang w:val="en-GB"/>
        </w:rPr>
        <w:t xml:space="preserve">Appendix </w:t>
      </w:r>
      <w:r w:rsidR="6130DE1B" w:rsidRPr="77BE0170">
        <w:rPr>
          <w:rFonts w:ascii="Calibri Light" w:eastAsia="Calibri Light" w:hAnsi="Calibri Light" w:cs="Calibri Light"/>
          <w:color w:val="000000" w:themeColor="text1"/>
          <w:sz w:val="24"/>
          <w:szCs w:val="24"/>
          <w:lang w:val="en-GB"/>
        </w:rPr>
        <w:t>2.</w:t>
      </w:r>
      <w:r w:rsidRPr="77BE0170">
        <w:rPr>
          <w:rFonts w:ascii="Calibri Light" w:eastAsia="Calibri Light" w:hAnsi="Calibri Light" w:cs="Calibri Light"/>
          <w:color w:val="000000" w:themeColor="text1"/>
          <w:sz w:val="24"/>
          <w:szCs w:val="24"/>
          <w:lang w:val="en-GB"/>
        </w:rPr>
        <w:t>1 outlines the results of an evaluation study undertaken to assess the performance of the TSSF model during a trial of the model. This supplements a number of studies undertaken by the OPW, its contractors and Met Éireann during the past several years.</w:t>
      </w:r>
    </w:p>
    <w:p w14:paraId="4D253FC9" w14:textId="47CD50EE" w:rsidR="77BE0170" w:rsidRDefault="77BE0170" w:rsidP="77BE0170">
      <w:pPr>
        <w:spacing w:afterAutospacing="1"/>
        <w:jc w:val="both"/>
        <w:rPr>
          <w:rFonts w:ascii="Calibri Light" w:eastAsia="Calibri Light" w:hAnsi="Calibri Light" w:cs="Calibri Light"/>
          <w:color w:val="000000" w:themeColor="text1"/>
          <w:sz w:val="24"/>
          <w:szCs w:val="24"/>
          <w:lang w:val="en-GB"/>
        </w:rPr>
      </w:pPr>
    </w:p>
    <w:p w14:paraId="40F8B6B9" w14:textId="414057FE" w:rsidR="7A0A5246" w:rsidRDefault="7A0A5246" w:rsidP="77BE0170">
      <w:pPr>
        <w:spacing w:afterAutospacing="1"/>
        <w:jc w:val="both"/>
        <w:rPr>
          <w:rFonts w:ascii="Calibri Light" w:eastAsia="Calibri Light" w:hAnsi="Calibri Light" w:cs="Calibri Light"/>
          <w:color w:val="000000" w:themeColor="text1"/>
          <w:sz w:val="24"/>
          <w:szCs w:val="24"/>
        </w:rPr>
      </w:pPr>
      <w:r w:rsidRPr="77BE0170">
        <w:rPr>
          <w:rFonts w:ascii="Calibri Light" w:eastAsia="Calibri Light" w:hAnsi="Calibri Light" w:cs="Calibri Light"/>
          <w:color w:val="000000" w:themeColor="text1"/>
          <w:sz w:val="24"/>
          <w:szCs w:val="24"/>
          <w:lang w:val="en-GB"/>
        </w:rPr>
        <w:lastRenderedPageBreak/>
        <w:t xml:space="preserve">Generally, the model is shown to perform reasonably well, but it has one major issue; it does not include waves in the calculation of the total water level. The developers of the model have suggested that this could add an additional 30 to 50cm of water to forecast levels. Met Éireann intends implementing the recommendations from this report which will improve the model and cater for the known deficiency in relation to waves. It is planned to develop the TSSF model to use the high-resolution Harmonie model and so improve accuracy in terms of both temporal and spatial areas. Additionally, an ensemble model of the TSSF model will be developed. The FFC are developing a plan to address the various report recommendations and implement them over the coming three years.  </w:t>
      </w:r>
    </w:p>
    <w:p w14:paraId="42852BE1" w14:textId="2CD4870E" w:rsidR="7A0A5246" w:rsidRDefault="7A0A5246" w:rsidP="77BE0170">
      <w:pPr>
        <w:pStyle w:val="Heading1"/>
        <w:spacing w:afterAutospacing="1"/>
        <w:rPr>
          <w:rFonts w:ascii="Calibri Light" w:eastAsia="Calibri Light" w:hAnsi="Calibri Light" w:cs="Calibri Light"/>
          <w:sz w:val="24"/>
          <w:szCs w:val="24"/>
        </w:rPr>
      </w:pPr>
      <w:r w:rsidRPr="77BE0170">
        <w:rPr>
          <w:rFonts w:ascii="Calibri Light" w:eastAsia="Calibri Light" w:hAnsi="Calibri Light" w:cs="Calibri Light"/>
          <w:b/>
          <w:bCs/>
          <w:sz w:val="24"/>
          <w:szCs w:val="24"/>
          <w:lang w:val="en-GB"/>
        </w:rPr>
        <w:t>Preparations for the operational FFC</w:t>
      </w:r>
    </w:p>
    <w:p w14:paraId="16E601E2" w14:textId="38F4040E" w:rsidR="77BE0170" w:rsidRPr="0036386B" w:rsidRDefault="7A0A5246" w:rsidP="77BE0170">
      <w:pPr>
        <w:spacing w:afterAutospacing="1"/>
        <w:jc w:val="both"/>
        <w:rPr>
          <w:rFonts w:ascii="Calibri Light" w:eastAsia="Calibri Light" w:hAnsi="Calibri Light" w:cs="Calibri Light"/>
          <w:color w:val="000000" w:themeColor="text1"/>
          <w:sz w:val="24"/>
          <w:szCs w:val="24"/>
        </w:rPr>
      </w:pPr>
      <w:r w:rsidRPr="77BE0170">
        <w:rPr>
          <w:rFonts w:ascii="Calibri Light" w:eastAsia="Calibri Light" w:hAnsi="Calibri Light" w:cs="Calibri Light"/>
          <w:color w:val="000000" w:themeColor="text1"/>
          <w:sz w:val="24"/>
          <w:szCs w:val="24"/>
          <w:lang w:val="en-GB"/>
        </w:rPr>
        <w:t xml:space="preserve">The FFD have now embedded the TSSF model into the ECWMF HPC architecture ensuring more resilient and robust operations than previously. The model system receives NWP data directly from the operational stream at ECMWF. The forecast data from the TSSF model is now being sent directly to the IFICS and ANYWHERE cloud-based systems. The availability of the TSSF model forecasts in IFICS means stakeholders can view this information alongside other information relevant for decision making including wind, wave and pressure forecasts. </w:t>
      </w:r>
      <w:r w:rsidRPr="77BE0170">
        <w:rPr>
          <w:rFonts w:ascii="Calibri Light" w:eastAsia="Calibri Light" w:hAnsi="Calibri Light" w:cs="Calibri Light"/>
          <w:color w:val="000000" w:themeColor="text1"/>
          <w:sz w:val="24"/>
          <w:szCs w:val="24"/>
        </w:rPr>
        <w:t>All staff of the FFC have been given training on troubleshooting the model and documentation has been developed to support monitoring and maintenance</w:t>
      </w:r>
      <w:r w:rsidRPr="77BE0170">
        <w:rPr>
          <w:rFonts w:ascii="Calibri Light" w:eastAsia="Calibri Light" w:hAnsi="Calibri Light" w:cs="Calibri Light"/>
          <w:color w:val="000000" w:themeColor="text1"/>
          <w:sz w:val="24"/>
          <w:szCs w:val="24"/>
          <w:lang w:val="en-GB"/>
        </w:rPr>
        <w:t>. There is also support from the Operators in ECMWF which will result in frontline assistance in the case an issue develops.</w:t>
      </w:r>
    </w:p>
    <w:p w14:paraId="796DE21A" w14:textId="044C63EF" w:rsidR="77BE0170" w:rsidRPr="0036386B" w:rsidRDefault="7A0A5246" w:rsidP="77BE0170">
      <w:pPr>
        <w:spacing w:afterAutospacing="1"/>
        <w:jc w:val="both"/>
        <w:rPr>
          <w:rFonts w:ascii="Calibri Light" w:eastAsia="Calibri Light" w:hAnsi="Calibri Light" w:cs="Calibri Light"/>
          <w:color w:val="000000" w:themeColor="text1"/>
          <w:sz w:val="24"/>
          <w:szCs w:val="24"/>
        </w:rPr>
      </w:pPr>
      <w:r w:rsidRPr="77BE0170">
        <w:rPr>
          <w:rFonts w:ascii="Calibri Light" w:eastAsia="Calibri Light" w:hAnsi="Calibri Light" w:cs="Calibri Light"/>
          <w:color w:val="000000" w:themeColor="text1"/>
          <w:sz w:val="24"/>
          <w:szCs w:val="24"/>
          <w:lang w:val="en-GB"/>
        </w:rPr>
        <w:t>Users of TSSF output are made aware of the limitations of the current model, including the absence of wave height details.</w:t>
      </w:r>
    </w:p>
    <w:p w14:paraId="0BDD45A2" w14:textId="6DE80351" w:rsidR="7A0A5246" w:rsidRPr="009B49A6" w:rsidRDefault="7A0A5246" w:rsidP="009B49A6">
      <w:pPr>
        <w:keepNext/>
        <w:keepLines/>
        <w:spacing w:before="240" w:beforeAutospacing="1" w:after="0"/>
        <w:rPr>
          <w:rFonts w:ascii="Calibri Light" w:eastAsia="Calibri Light" w:hAnsi="Calibri Light" w:cs="Calibri Light"/>
          <w:color w:val="2F5496" w:themeColor="accent1" w:themeShade="BF"/>
          <w:sz w:val="24"/>
          <w:szCs w:val="24"/>
        </w:rPr>
      </w:pPr>
      <w:r w:rsidRPr="009B49A6">
        <w:rPr>
          <w:rStyle w:val="Strong"/>
          <w:rFonts w:ascii="Calibri Light" w:eastAsia="Calibri Light" w:hAnsi="Calibri Light" w:cs="Calibri Light"/>
          <w:color w:val="2F5496" w:themeColor="accent1" w:themeShade="BF"/>
          <w:sz w:val="24"/>
          <w:szCs w:val="24"/>
        </w:rPr>
        <w:t>Development and Maintenance</w:t>
      </w:r>
    </w:p>
    <w:p w14:paraId="349C185B" w14:textId="01A268F2" w:rsidR="77BE0170" w:rsidRPr="0036386B" w:rsidRDefault="7A0A5246" w:rsidP="77BE0170">
      <w:pPr>
        <w:spacing w:beforeAutospacing="1" w:after="120" w:line="240" w:lineRule="auto"/>
        <w:jc w:val="both"/>
        <w:rPr>
          <w:rFonts w:ascii="Calibri Light" w:eastAsia="Calibri Light" w:hAnsi="Calibri Light" w:cs="Calibri Light"/>
          <w:color w:val="000000" w:themeColor="text1"/>
          <w:sz w:val="24"/>
          <w:szCs w:val="24"/>
        </w:rPr>
      </w:pPr>
      <w:r w:rsidRPr="77BE0170">
        <w:rPr>
          <w:rFonts w:ascii="Calibri Light" w:eastAsia="Calibri Light" w:hAnsi="Calibri Light" w:cs="Calibri Light"/>
          <w:color w:val="000000" w:themeColor="text1"/>
          <w:sz w:val="24"/>
          <w:szCs w:val="24"/>
        </w:rPr>
        <w:t>As detailed in the review recommendations, development work will be required to improve the TSSF model. Along with utilizing Met Éireann’s own capabilities, options to improve the model outside Met Éireann, including by the model developers (DHI) and other users in the international community, will be explored. Additional performance reviews by FFC are planned to identify further development requirements. These reviews will be supported by statistical verification and skill score analysis of the model’s performance over time at critical locations around the coast. The TSSF model forecasts are archived which will facilitate performance reviews.</w:t>
      </w:r>
    </w:p>
    <w:p w14:paraId="198E73FD" w14:textId="53C035A5" w:rsidR="7A0A5246" w:rsidRDefault="7A0A5246" w:rsidP="77BE0170">
      <w:pPr>
        <w:pStyle w:val="Heading1"/>
        <w:spacing w:beforeAutospacing="1" w:after="120" w:line="240" w:lineRule="auto"/>
        <w:jc w:val="both"/>
        <w:rPr>
          <w:rFonts w:ascii="Calibri Light" w:eastAsia="Calibri Light" w:hAnsi="Calibri Light" w:cs="Calibri Light"/>
          <w:sz w:val="24"/>
          <w:szCs w:val="24"/>
        </w:rPr>
      </w:pPr>
      <w:r w:rsidRPr="77BE0170">
        <w:rPr>
          <w:rFonts w:ascii="Calibri Light" w:eastAsia="Calibri Light" w:hAnsi="Calibri Light" w:cs="Calibri Light"/>
          <w:b/>
          <w:bCs/>
          <w:sz w:val="24"/>
          <w:szCs w:val="24"/>
          <w:lang w:val="en-GB"/>
        </w:rPr>
        <w:t xml:space="preserve">Appendix </w:t>
      </w:r>
      <w:r w:rsidR="36497514" w:rsidRPr="77BE0170">
        <w:rPr>
          <w:rFonts w:ascii="Calibri Light" w:eastAsia="Calibri Light" w:hAnsi="Calibri Light" w:cs="Calibri Light"/>
          <w:b/>
          <w:bCs/>
          <w:sz w:val="24"/>
          <w:szCs w:val="24"/>
          <w:lang w:val="en-GB"/>
        </w:rPr>
        <w:t>2.</w:t>
      </w:r>
      <w:r w:rsidRPr="77BE0170">
        <w:rPr>
          <w:rFonts w:ascii="Calibri Light" w:eastAsia="Calibri Light" w:hAnsi="Calibri Light" w:cs="Calibri Light"/>
          <w:b/>
          <w:bCs/>
          <w:sz w:val="24"/>
          <w:szCs w:val="24"/>
          <w:lang w:val="en-GB"/>
        </w:rPr>
        <w:t>1: Performance Reports for the TSSF Model</w:t>
      </w:r>
    </w:p>
    <w:p w14:paraId="79D14114" w14:textId="6760DDF8" w:rsidR="7A0A5246" w:rsidRDefault="7A0A5246" w:rsidP="77BE0170">
      <w:pPr>
        <w:spacing w:beforeAutospacing="1" w:after="120" w:line="240" w:lineRule="auto"/>
        <w:jc w:val="both"/>
        <w:rPr>
          <w:rFonts w:ascii="Calibri Light" w:eastAsia="Calibri Light" w:hAnsi="Calibri Light" w:cs="Calibri Light"/>
          <w:color w:val="000000" w:themeColor="text1"/>
          <w:sz w:val="24"/>
          <w:szCs w:val="24"/>
        </w:rPr>
      </w:pPr>
      <w:r w:rsidRPr="77BE0170">
        <w:rPr>
          <w:rFonts w:ascii="Calibri Light" w:eastAsia="Calibri Light" w:hAnsi="Calibri Light" w:cs="Calibri Light"/>
          <w:color w:val="000000" w:themeColor="text1"/>
          <w:sz w:val="24"/>
          <w:szCs w:val="24"/>
          <w:lang w:val="en-US"/>
        </w:rPr>
        <w:t xml:space="preserve">The performance of the TSSF was evaluated for a 19-month period from the 18th of October 2021 to the 22nd of May 2023. Ten TSSF forecast locations were selected for the evaluation due to their proximity to a tide gauge, with all locations within 4km of the nearest tide gauges. To assess the performance of the TSSF, the daily maximum forecast Total Water Levels (TWLs) were compared to the daily maximum observed TWLs for each location. A subset of this data comprising the top 100 observed daily maximum TWLs at each location was assessed concurrently, to give an indication of the forecast performance in the higher range of TWLs to represent periods of heightened coastal flood risk. In addition, timeseries charts of the daily </w:t>
      </w:r>
      <w:r w:rsidRPr="77BE0170">
        <w:rPr>
          <w:rFonts w:ascii="Calibri Light" w:eastAsia="Calibri Light" w:hAnsi="Calibri Light" w:cs="Calibri Light"/>
          <w:color w:val="000000" w:themeColor="text1"/>
          <w:sz w:val="24"/>
          <w:szCs w:val="24"/>
          <w:lang w:val="en-US"/>
        </w:rPr>
        <w:lastRenderedPageBreak/>
        <w:t xml:space="preserve">maximum forecast and observed TWLs were assessed at each location if HAT levels were exceeded or approached (within 0.2m) during any of the nine named storms which occurred over the evaluation period. </w:t>
      </w:r>
    </w:p>
    <w:p w14:paraId="2FDCDC06" w14:textId="50BB6B59" w:rsidR="7A0A5246" w:rsidRDefault="7A0A5246" w:rsidP="77BE0170">
      <w:pPr>
        <w:spacing w:beforeAutospacing="1" w:after="120" w:line="240" w:lineRule="auto"/>
        <w:jc w:val="both"/>
        <w:rPr>
          <w:rFonts w:ascii="Calibri Light" w:eastAsia="Calibri Light" w:hAnsi="Calibri Light" w:cs="Calibri Light"/>
          <w:color w:val="000000" w:themeColor="text1"/>
          <w:sz w:val="24"/>
          <w:szCs w:val="24"/>
        </w:rPr>
      </w:pPr>
      <w:r w:rsidRPr="77BE0170">
        <w:rPr>
          <w:rFonts w:ascii="Calibri Light" w:eastAsia="Calibri Light" w:hAnsi="Calibri Light" w:cs="Calibri Light"/>
          <w:color w:val="000000" w:themeColor="text1"/>
          <w:sz w:val="24"/>
          <w:szCs w:val="24"/>
          <w:lang w:val="en-US"/>
        </w:rPr>
        <w:t xml:space="preserve">A summary of the differences between daily maximum forecast and observed TWLs are provided in Table 1 for both the full dataset and the top 100 daily maximum observed TWLs. The mean difference is the average of all the daily differences, which can be negative or positive representing under-prediction or over-prediction respectively. The absolute difference is the deviation between forecast and observed maximum daily TWLs, which is always a positive value, and is </w:t>
      </w:r>
      <w:proofErr w:type="spellStart"/>
      <w:r w:rsidRPr="77BE0170">
        <w:rPr>
          <w:rFonts w:ascii="Calibri Light" w:eastAsia="Calibri Light" w:hAnsi="Calibri Light" w:cs="Calibri Light"/>
          <w:color w:val="000000" w:themeColor="text1"/>
          <w:sz w:val="24"/>
          <w:szCs w:val="24"/>
          <w:lang w:val="en-US"/>
        </w:rPr>
        <w:t>summarised</w:t>
      </w:r>
      <w:proofErr w:type="spellEnd"/>
      <w:r w:rsidRPr="77BE0170">
        <w:rPr>
          <w:rFonts w:ascii="Calibri Light" w:eastAsia="Calibri Light" w:hAnsi="Calibri Light" w:cs="Calibri Light"/>
          <w:color w:val="000000" w:themeColor="text1"/>
          <w:sz w:val="24"/>
          <w:szCs w:val="24"/>
          <w:lang w:val="en-US"/>
        </w:rPr>
        <w:t xml:space="preserve"> in Table 1 as the percentage of daily maximum forecast TWLs that deviate by 0.2m or greater from the observed daily maximum TWLs for each location. The Mean Absolute Deviation (MAD) is the average of the absolute differences for both datasets at each location. </w:t>
      </w:r>
    </w:p>
    <w:p w14:paraId="660103D4" w14:textId="1CC64B99" w:rsidR="7A0A5246" w:rsidRDefault="7A0A5246" w:rsidP="77BE0170">
      <w:pPr>
        <w:spacing w:beforeAutospacing="1" w:after="120" w:line="240" w:lineRule="auto"/>
        <w:jc w:val="both"/>
        <w:rPr>
          <w:rFonts w:ascii="Calibri Light" w:eastAsia="Calibri Light" w:hAnsi="Calibri Light" w:cs="Calibri Light"/>
          <w:color w:val="000000" w:themeColor="text1"/>
          <w:sz w:val="24"/>
          <w:szCs w:val="24"/>
        </w:rPr>
      </w:pPr>
      <w:r w:rsidRPr="77BE0170">
        <w:rPr>
          <w:rFonts w:ascii="Calibri Light" w:eastAsia="Calibri Light" w:hAnsi="Calibri Light" w:cs="Calibri Light"/>
          <w:color w:val="000000" w:themeColor="text1"/>
          <w:sz w:val="24"/>
          <w:szCs w:val="24"/>
          <w:lang w:val="en-US"/>
        </w:rPr>
        <w:t>For the full dataset, the MAD varies from 0.08m to 0.19m, while the MAD varies from 0.09m to 0.2m for the top 100. Based on the MAD values, the performance of the TSSF is notably less accurate in the top 100 compared to the full dataset for WH5, Arklow and SE6, with slight improvements at Shannon Estuary, and with similar performance at all other locations.</w:t>
      </w:r>
    </w:p>
    <w:p w14:paraId="151D6F3C" w14:textId="16AC9450" w:rsidR="77BE0170" w:rsidRDefault="7A0A5246" w:rsidP="0036386B">
      <w:pPr>
        <w:spacing w:beforeAutospacing="1" w:after="120" w:line="240" w:lineRule="auto"/>
        <w:jc w:val="both"/>
        <w:rPr>
          <w:rFonts w:ascii="Calibri Light" w:eastAsia="Calibri Light" w:hAnsi="Calibri Light" w:cs="Calibri Light"/>
          <w:color w:val="000000" w:themeColor="text1"/>
          <w:sz w:val="24"/>
          <w:szCs w:val="24"/>
          <w:lang w:val="en-US"/>
        </w:rPr>
      </w:pPr>
      <w:r w:rsidRPr="77BE0170">
        <w:rPr>
          <w:rFonts w:ascii="Calibri Light" w:eastAsia="Calibri Light" w:hAnsi="Calibri Light" w:cs="Calibri Light"/>
          <w:color w:val="000000" w:themeColor="text1"/>
          <w:sz w:val="24"/>
          <w:szCs w:val="24"/>
          <w:lang w:val="en-US"/>
        </w:rPr>
        <w:t>For the full dataset, half of the locations had more than 10% of absolute differences greater than or equal to 0.2m, with GB8 exceeding 20%. The remaining five locations ranged between 6% and 9% with absolute differences greater than or equal to 0.2m. For the top 100, only three of the locations had less than 10% absolute differences of greater than or equal to 0.2m, with four locations exceeding 20%. Significant increases between the full dataset and top 100 are noted at certain locations such as Arklow increasing from 17% to 41%, WH5 increasing from 8% to 32% and SE6 from increasing 11% to 28% of samples with an absolute difference of greater than or equal to 0.2m which suggests a poorer performance in the higher range of TWLs at these locations. At WH5, GB8 and SE6 at least 1 in 4 forecasts in the higher range of TWLs deviated by 0.2m or greater. At Arklow at least 1 in 3 forecasts deviated by 0.2m or greater.</w:t>
      </w:r>
    </w:p>
    <w:p w14:paraId="75C27E0D" w14:textId="416AB361" w:rsidR="00003380" w:rsidRDefault="00003380" w:rsidP="0036386B">
      <w:pPr>
        <w:spacing w:beforeAutospacing="1" w:after="120" w:line="240" w:lineRule="auto"/>
        <w:jc w:val="both"/>
        <w:rPr>
          <w:rFonts w:ascii="Calibri" w:eastAsia="Calibri" w:hAnsi="Calibri" w:cs="Calibri"/>
          <w:color w:val="000000" w:themeColor="text1"/>
        </w:rPr>
      </w:pPr>
    </w:p>
    <w:p w14:paraId="3570776A" w14:textId="36A1FBEB" w:rsidR="00003380" w:rsidRDefault="00003380" w:rsidP="0036386B">
      <w:pPr>
        <w:spacing w:beforeAutospacing="1" w:after="120" w:line="240" w:lineRule="auto"/>
        <w:jc w:val="both"/>
        <w:rPr>
          <w:rFonts w:ascii="Calibri" w:eastAsia="Calibri" w:hAnsi="Calibri" w:cs="Calibri"/>
          <w:color w:val="000000" w:themeColor="text1"/>
        </w:rPr>
      </w:pPr>
    </w:p>
    <w:p w14:paraId="7F4A3B1D" w14:textId="5DCAB215" w:rsidR="00003380" w:rsidRDefault="00003380" w:rsidP="0036386B">
      <w:pPr>
        <w:spacing w:beforeAutospacing="1" w:after="120" w:line="240" w:lineRule="auto"/>
        <w:jc w:val="both"/>
        <w:rPr>
          <w:rFonts w:ascii="Calibri" w:eastAsia="Calibri" w:hAnsi="Calibri" w:cs="Calibri"/>
          <w:color w:val="000000" w:themeColor="text1"/>
        </w:rPr>
      </w:pPr>
    </w:p>
    <w:p w14:paraId="441EB4DB" w14:textId="690D1E9B" w:rsidR="00003380" w:rsidRDefault="00003380" w:rsidP="0036386B">
      <w:pPr>
        <w:spacing w:beforeAutospacing="1" w:after="120" w:line="240" w:lineRule="auto"/>
        <w:jc w:val="both"/>
        <w:rPr>
          <w:rFonts w:ascii="Calibri" w:eastAsia="Calibri" w:hAnsi="Calibri" w:cs="Calibri"/>
          <w:color w:val="000000" w:themeColor="text1"/>
        </w:rPr>
      </w:pPr>
    </w:p>
    <w:p w14:paraId="375C1379" w14:textId="6263E9C3" w:rsidR="00003380" w:rsidRDefault="00003380" w:rsidP="0036386B">
      <w:pPr>
        <w:spacing w:beforeAutospacing="1" w:after="120" w:line="240" w:lineRule="auto"/>
        <w:jc w:val="both"/>
        <w:rPr>
          <w:rFonts w:ascii="Calibri" w:eastAsia="Calibri" w:hAnsi="Calibri" w:cs="Calibri"/>
          <w:color w:val="000000" w:themeColor="text1"/>
        </w:rPr>
      </w:pPr>
    </w:p>
    <w:p w14:paraId="2E0BD1C1" w14:textId="167AB2E1" w:rsidR="00003380" w:rsidRDefault="00003380" w:rsidP="0036386B">
      <w:pPr>
        <w:spacing w:beforeAutospacing="1" w:after="120" w:line="240" w:lineRule="auto"/>
        <w:jc w:val="both"/>
        <w:rPr>
          <w:rFonts w:ascii="Calibri" w:eastAsia="Calibri" w:hAnsi="Calibri" w:cs="Calibri"/>
          <w:color w:val="000000" w:themeColor="text1"/>
        </w:rPr>
      </w:pPr>
    </w:p>
    <w:p w14:paraId="7C2D2C70" w14:textId="6C0EC88F" w:rsidR="00003380" w:rsidRDefault="00003380" w:rsidP="0036386B">
      <w:pPr>
        <w:spacing w:beforeAutospacing="1" w:after="120" w:line="240" w:lineRule="auto"/>
        <w:jc w:val="both"/>
        <w:rPr>
          <w:rFonts w:ascii="Calibri" w:eastAsia="Calibri" w:hAnsi="Calibri" w:cs="Calibri"/>
          <w:color w:val="000000" w:themeColor="text1"/>
        </w:rPr>
      </w:pPr>
    </w:p>
    <w:p w14:paraId="0E310A2B" w14:textId="0A5FBC9C" w:rsidR="00003380" w:rsidRDefault="00003380" w:rsidP="0036386B">
      <w:pPr>
        <w:spacing w:beforeAutospacing="1" w:after="120" w:line="240" w:lineRule="auto"/>
        <w:jc w:val="both"/>
        <w:rPr>
          <w:rFonts w:ascii="Calibri" w:eastAsia="Calibri" w:hAnsi="Calibri" w:cs="Calibri"/>
          <w:color w:val="000000" w:themeColor="text1"/>
        </w:rPr>
      </w:pPr>
    </w:p>
    <w:p w14:paraId="15D36DDD" w14:textId="77777777" w:rsidR="00003380" w:rsidRDefault="00003380" w:rsidP="0036386B">
      <w:pPr>
        <w:spacing w:beforeAutospacing="1" w:after="120" w:line="240" w:lineRule="auto"/>
        <w:jc w:val="both"/>
        <w:rPr>
          <w:rFonts w:ascii="Calibri" w:eastAsia="Calibri" w:hAnsi="Calibri" w:cs="Calibri"/>
          <w:color w:val="000000" w:themeColor="text1"/>
        </w:rPr>
      </w:pPr>
    </w:p>
    <w:p w14:paraId="0A52DB5E" w14:textId="7D208A63" w:rsidR="77BE0170" w:rsidRDefault="77BE0170" w:rsidP="77BE0170">
      <w:pPr>
        <w:rPr>
          <w:rFonts w:ascii="Calibri" w:eastAsia="Calibri" w:hAnsi="Calibri" w:cs="Calibri"/>
          <w:color w:val="000000" w:themeColor="text1"/>
        </w:rPr>
      </w:pPr>
    </w:p>
    <w:tbl>
      <w:tblPr>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695"/>
        <w:gridCol w:w="990"/>
        <w:gridCol w:w="1125"/>
        <w:gridCol w:w="1320"/>
        <w:gridCol w:w="1230"/>
        <w:gridCol w:w="1305"/>
        <w:gridCol w:w="1305"/>
      </w:tblGrid>
      <w:tr w:rsidR="77BE0170" w14:paraId="2518FB85" w14:textId="77777777" w:rsidTr="77BE0170">
        <w:trPr>
          <w:trHeight w:val="210"/>
        </w:trPr>
        <w:tc>
          <w:tcPr>
            <w:tcW w:w="1695" w:type="dxa"/>
            <w:tcBorders>
              <w:top w:val="nil"/>
              <w:left w:val="nil"/>
              <w:bottom w:val="nil"/>
              <w:right w:val="single" w:sz="6" w:space="0" w:color="BFBFBF" w:themeColor="background1" w:themeShade="BF"/>
            </w:tcBorders>
            <w:tcMar>
              <w:left w:w="105" w:type="dxa"/>
              <w:right w:w="105" w:type="dxa"/>
            </w:tcMar>
            <w:vAlign w:val="center"/>
          </w:tcPr>
          <w:p w14:paraId="5715B81B" w14:textId="778BFF91" w:rsidR="77BE0170" w:rsidRDefault="77BE0170" w:rsidP="77BE0170">
            <w:pPr>
              <w:spacing w:after="0" w:line="240" w:lineRule="auto"/>
              <w:jc w:val="center"/>
              <w:rPr>
                <w:rFonts w:ascii="Calibri" w:eastAsia="Calibri" w:hAnsi="Calibri" w:cs="Calibri"/>
                <w:color w:val="000000" w:themeColor="text1"/>
                <w:sz w:val="18"/>
                <w:szCs w:val="18"/>
              </w:rPr>
            </w:pPr>
            <w:r w:rsidRPr="77BE0170">
              <w:rPr>
                <w:rFonts w:ascii="Calibri" w:eastAsia="Calibri" w:hAnsi="Calibri" w:cs="Calibri"/>
                <w:b/>
                <w:bCs/>
                <w:color w:val="000000" w:themeColor="text1"/>
                <w:sz w:val="18"/>
                <w:szCs w:val="18"/>
                <w:lang w:val="en-GB"/>
              </w:rPr>
              <w:t> </w:t>
            </w:r>
          </w:p>
        </w:tc>
        <w:tc>
          <w:tcPr>
            <w:tcW w:w="3435" w:type="dxa"/>
            <w:gridSpan w:val="3"/>
            <w:tcBorders>
              <w:top w:val="nil"/>
              <w:left w:val="single" w:sz="6" w:space="0" w:color="BFBFBF" w:themeColor="background1" w:themeShade="BF"/>
              <w:bottom w:val="single" w:sz="6" w:space="0" w:color="D9D9D9" w:themeColor="background1" w:themeShade="D9"/>
              <w:right w:val="single" w:sz="6" w:space="0" w:color="BFBFBF" w:themeColor="background1" w:themeShade="BF"/>
            </w:tcBorders>
            <w:tcMar>
              <w:left w:w="105" w:type="dxa"/>
              <w:right w:w="105" w:type="dxa"/>
            </w:tcMar>
          </w:tcPr>
          <w:p w14:paraId="19E18072" w14:textId="3B5E54F2" w:rsidR="77BE0170" w:rsidRDefault="77BE0170" w:rsidP="77BE0170">
            <w:pPr>
              <w:spacing w:after="0" w:line="240" w:lineRule="auto"/>
              <w:jc w:val="center"/>
              <w:rPr>
                <w:rFonts w:ascii="Calibri" w:eastAsia="Calibri" w:hAnsi="Calibri" w:cs="Calibri"/>
                <w:color w:val="000000" w:themeColor="text1"/>
                <w:sz w:val="18"/>
                <w:szCs w:val="18"/>
              </w:rPr>
            </w:pPr>
            <w:r w:rsidRPr="77BE0170">
              <w:rPr>
                <w:rFonts w:ascii="Calibri" w:eastAsia="Calibri" w:hAnsi="Calibri" w:cs="Calibri"/>
                <w:b/>
                <w:bCs/>
                <w:color w:val="000000" w:themeColor="text1"/>
                <w:sz w:val="18"/>
                <w:szCs w:val="18"/>
                <w:lang w:val="en-GB"/>
              </w:rPr>
              <w:t>Full Dataset</w:t>
            </w:r>
          </w:p>
        </w:tc>
        <w:tc>
          <w:tcPr>
            <w:tcW w:w="3840" w:type="dxa"/>
            <w:gridSpan w:val="3"/>
            <w:tcBorders>
              <w:top w:val="nil"/>
              <w:left w:val="nil"/>
              <w:bottom w:val="single" w:sz="6" w:space="0" w:color="D9D9D9" w:themeColor="background1" w:themeShade="D9"/>
              <w:right w:val="single" w:sz="6" w:space="0" w:color="BFBFBF" w:themeColor="background1" w:themeShade="BF"/>
            </w:tcBorders>
            <w:tcMar>
              <w:left w:w="105" w:type="dxa"/>
              <w:right w:w="105" w:type="dxa"/>
            </w:tcMar>
          </w:tcPr>
          <w:p w14:paraId="5304E15B" w14:textId="164C2499" w:rsidR="77BE0170" w:rsidRDefault="77BE0170" w:rsidP="77BE0170">
            <w:pPr>
              <w:spacing w:after="0" w:line="240" w:lineRule="auto"/>
              <w:jc w:val="center"/>
              <w:rPr>
                <w:rFonts w:ascii="Calibri" w:eastAsia="Calibri" w:hAnsi="Calibri" w:cs="Calibri"/>
                <w:color w:val="000000" w:themeColor="text1"/>
                <w:sz w:val="18"/>
                <w:szCs w:val="18"/>
              </w:rPr>
            </w:pPr>
            <w:r w:rsidRPr="77BE0170">
              <w:rPr>
                <w:rFonts w:ascii="Calibri" w:eastAsia="Calibri" w:hAnsi="Calibri" w:cs="Calibri"/>
                <w:b/>
                <w:bCs/>
                <w:color w:val="000000" w:themeColor="text1"/>
                <w:sz w:val="18"/>
                <w:szCs w:val="18"/>
                <w:lang w:val="en-GB"/>
              </w:rPr>
              <w:t>Top 100</w:t>
            </w:r>
          </w:p>
        </w:tc>
      </w:tr>
      <w:tr w:rsidR="77BE0170" w14:paraId="3EBABFCD" w14:textId="77777777" w:rsidTr="77BE0170">
        <w:trPr>
          <w:trHeight w:val="540"/>
        </w:trPr>
        <w:tc>
          <w:tcPr>
            <w:tcW w:w="1695" w:type="dxa"/>
            <w:tcBorders>
              <w:top w:val="nil"/>
              <w:left w:val="nil"/>
              <w:bottom w:val="single" w:sz="6" w:space="0" w:color="BFBFBF" w:themeColor="background1" w:themeShade="BF"/>
              <w:right w:val="single" w:sz="6" w:space="0" w:color="BFBFBF" w:themeColor="background1" w:themeShade="BF"/>
            </w:tcBorders>
            <w:tcMar>
              <w:left w:w="105" w:type="dxa"/>
              <w:right w:w="105" w:type="dxa"/>
            </w:tcMar>
            <w:vAlign w:val="bottom"/>
          </w:tcPr>
          <w:p w14:paraId="68AEE0B9" w14:textId="3C010542" w:rsidR="77BE0170" w:rsidRDefault="77BE0170" w:rsidP="77BE0170">
            <w:pPr>
              <w:spacing w:after="0" w:line="240" w:lineRule="auto"/>
              <w:jc w:val="center"/>
              <w:rPr>
                <w:rFonts w:ascii="Calibri" w:eastAsia="Calibri" w:hAnsi="Calibri" w:cs="Calibri"/>
                <w:color w:val="000000" w:themeColor="text1"/>
                <w:sz w:val="18"/>
                <w:szCs w:val="18"/>
              </w:rPr>
            </w:pPr>
            <w:r w:rsidRPr="77BE0170">
              <w:rPr>
                <w:rFonts w:ascii="Calibri" w:eastAsia="Calibri" w:hAnsi="Calibri" w:cs="Calibri"/>
                <w:b/>
                <w:bCs/>
                <w:color w:val="000000" w:themeColor="text1"/>
                <w:sz w:val="18"/>
                <w:szCs w:val="18"/>
                <w:lang w:val="en-GB"/>
              </w:rPr>
              <w:t> TSSF Forecast Locations</w:t>
            </w:r>
          </w:p>
        </w:tc>
        <w:tc>
          <w:tcPr>
            <w:tcW w:w="990" w:type="dxa"/>
            <w:tcBorders>
              <w:top w:val="single" w:sz="6" w:space="0" w:color="D9D9D9" w:themeColor="background1" w:themeShade="D9"/>
              <w:left w:val="single" w:sz="6" w:space="0" w:color="BFBFBF" w:themeColor="background1" w:themeShade="BF"/>
              <w:bottom w:val="single" w:sz="6" w:space="0" w:color="BFBFBF" w:themeColor="background1" w:themeShade="BF"/>
              <w:right w:val="single" w:sz="6" w:space="0" w:color="D9D9D9" w:themeColor="background1" w:themeShade="D9"/>
            </w:tcBorders>
            <w:tcMar>
              <w:left w:w="105" w:type="dxa"/>
              <w:right w:w="105" w:type="dxa"/>
            </w:tcMar>
            <w:vAlign w:val="center"/>
          </w:tcPr>
          <w:p w14:paraId="4DFF4680" w14:textId="787DCD04" w:rsidR="77BE0170" w:rsidRDefault="77BE0170" w:rsidP="77BE0170">
            <w:pPr>
              <w:spacing w:after="0" w:line="240" w:lineRule="auto"/>
              <w:jc w:val="center"/>
              <w:rPr>
                <w:rFonts w:ascii="Calibri" w:eastAsia="Calibri" w:hAnsi="Calibri" w:cs="Calibri"/>
                <w:color w:val="000000" w:themeColor="text1"/>
                <w:sz w:val="18"/>
                <w:szCs w:val="18"/>
              </w:rPr>
            </w:pPr>
            <w:r w:rsidRPr="77BE0170">
              <w:rPr>
                <w:rFonts w:ascii="Calibri" w:eastAsia="Calibri" w:hAnsi="Calibri" w:cs="Calibri"/>
                <w:b/>
                <w:bCs/>
                <w:color w:val="000000" w:themeColor="text1"/>
                <w:sz w:val="18"/>
                <w:szCs w:val="18"/>
                <w:lang w:val="en-GB"/>
              </w:rPr>
              <w:t>Mean Difference (m)</w:t>
            </w:r>
          </w:p>
        </w:tc>
        <w:tc>
          <w:tcPr>
            <w:tcW w:w="1125" w:type="dxa"/>
            <w:tcBorders>
              <w:top w:val="nil"/>
              <w:left w:val="single" w:sz="6" w:space="0" w:color="D9D9D9" w:themeColor="background1" w:themeShade="D9"/>
              <w:bottom w:val="single" w:sz="6" w:space="0" w:color="BFBFBF" w:themeColor="background1" w:themeShade="BF"/>
              <w:right w:val="single" w:sz="6" w:space="0" w:color="D9D9D9" w:themeColor="background1" w:themeShade="D9"/>
            </w:tcBorders>
            <w:tcMar>
              <w:left w:w="105" w:type="dxa"/>
              <w:right w:w="105" w:type="dxa"/>
            </w:tcMar>
          </w:tcPr>
          <w:p w14:paraId="745E04A3" w14:textId="71DFE803" w:rsidR="77BE0170" w:rsidRDefault="77BE0170" w:rsidP="77BE0170">
            <w:pPr>
              <w:spacing w:after="0" w:line="240" w:lineRule="auto"/>
              <w:jc w:val="center"/>
              <w:rPr>
                <w:rFonts w:ascii="Calibri" w:eastAsia="Calibri" w:hAnsi="Calibri" w:cs="Calibri"/>
                <w:color w:val="000000" w:themeColor="text1"/>
                <w:sz w:val="18"/>
                <w:szCs w:val="18"/>
              </w:rPr>
            </w:pPr>
            <w:r w:rsidRPr="77BE0170">
              <w:rPr>
                <w:rFonts w:ascii="Calibri" w:eastAsia="Calibri" w:hAnsi="Calibri" w:cs="Calibri"/>
                <w:b/>
                <w:bCs/>
                <w:color w:val="000000" w:themeColor="text1"/>
                <w:sz w:val="18"/>
                <w:szCs w:val="18"/>
                <w:lang w:val="en-GB"/>
              </w:rPr>
              <w:t>% Absolute Difference ≥0.2m</w:t>
            </w:r>
          </w:p>
        </w:tc>
        <w:tc>
          <w:tcPr>
            <w:tcW w:w="1320" w:type="dxa"/>
            <w:tcBorders>
              <w:top w:val="nil"/>
              <w:left w:val="single" w:sz="6" w:space="0" w:color="D9D9D9" w:themeColor="background1" w:themeShade="D9"/>
              <w:bottom w:val="single" w:sz="6" w:space="0" w:color="BFBFBF" w:themeColor="background1" w:themeShade="BF"/>
              <w:right w:val="single" w:sz="6" w:space="0" w:color="BFBFBF" w:themeColor="background1" w:themeShade="BF"/>
            </w:tcBorders>
            <w:tcMar>
              <w:left w:w="105" w:type="dxa"/>
              <w:right w:w="105" w:type="dxa"/>
            </w:tcMar>
            <w:vAlign w:val="center"/>
          </w:tcPr>
          <w:p w14:paraId="5CE44846" w14:textId="231FA593" w:rsidR="77BE0170" w:rsidRDefault="77BE0170" w:rsidP="77BE0170">
            <w:pPr>
              <w:spacing w:after="0" w:line="240" w:lineRule="auto"/>
              <w:jc w:val="center"/>
              <w:rPr>
                <w:rFonts w:ascii="Calibri" w:eastAsia="Calibri" w:hAnsi="Calibri" w:cs="Calibri"/>
                <w:color w:val="000000" w:themeColor="text1"/>
                <w:sz w:val="18"/>
                <w:szCs w:val="18"/>
              </w:rPr>
            </w:pPr>
            <w:r w:rsidRPr="77BE0170">
              <w:rPr>
                <w:rFonts w:ascii="Calibri" w:eastAsia="Calibri" w:hAnsi="Calibri" w:cs="Calibri"/>
                <w:b/>
                <w:bCs/>
                <w:color w:val="000000" w:themeColor="text1"/>
                <w:sz w:val="18"/>
                <w:szCs w:val="18"/>
                <w:lang w:val="en-GB"/>
              </w:rPr>
              <w:t>MAD (m)</w:t>
            </w:r>
          </w:p>
        </w:tc>
        <w:tc>
          <w:tcPr>
            <w:tcW w:w="1230" w:type="dxa"/>
            <w:tcBorders>
              <w:top w:val="single" w:sz="6" w:space="0" w:color="D9D9D9" w:themeColor="background1" w:themeShade="D9"/>
              <w:left w:val="single" w:sz="6" w:space="0" w:color="BFBFBF" w:themeColor="background1" w:themeShade="BF"/>
              <w:bottom w:val="single" w:sz="6" w:space="0" w:color="BFBFBF" w:themeColor="background1" w:themeShade="BF"/>
              <w:right w:val="single" w:sz="6" w:space="0" w:color="D9D9D9" w:themeColor="background1" w:themeShade="D9"/>
            </w:tcBorders>
            <w:tcMar>
              <w:left w:w="105" w:type="dxa"/>
              <w:right w:w="105" w:type="dxa"/>
            </w:tcMar>
            <w:vAlign w:val="center"/>
          </w:tcPr>
          <w:p w14:paraId="204B1F20" w14:textId="0E6E6525" w:rsidR="77BE0170" w:rsidRDefault="77BE0170" w:rsidP="77BE0170">
            <w:pPr>
              <w:spacing w:after="0" w:line="240" w:lineRule="auto"/>
              <w:jc w:val="center"/>
              <w:rPr>
                <w:rFonts w:ascii="Calibri" w:eastAsia="Calibri" w:hAnsi="Calibri" w:cs="Calibri"/>
                <w:color w:val="000000" w:themeColor="text1"/>
                <w:sz w:val="18"/>
                <w:szCs w:val="18"/>
              </w:rPr>
            </w:pPr>
            <w:r w:rsidRPr="77BE0170">
              <w:rPr>
                <w:rFonts w:ascii="Calibri" w:eastAsia="Calibri" w:hAnsi="Calibri" w:cs="Calibri"/>
                <w:b/>
                <w:bCs/>
                <w:color w:val="000000" w:themeColor="text1"/>
                <w:sz w:val="18"/>
                <w:szCs w:val="18"/>
                <w:lang w:val="en-GB"/>
              </w:rPr>
              <w:t>Mean Difference (m)</w:t>
            </w:r>
          </w:p>
        </w:tc>
        <w:tc>
          <w:tcPr>
            <w:tcW w:w="1305" w:type="dxa"/>
            <w:tcBorders>
              <w:top w:val="nil"/>
              <w:left w:val="single" w:sz="6" w:space="0" w:color="D9D9D9" w:themeColor="background1" w:themeShade="D9"/>
              <w:bottom w:val="single" w:sz="6" w:space="0" w:color="BFBFBF" w:themeColor="background1" w:themeShade="BF"/>
              <w:right w:val="single" w:sz="6" w:space="0" w:color="D9D9D9" w:themeColor="background1" w:themeShade="D9"/>
            </w:tcBorders>
            <w:tcMar>
              <w:left w:w="105" w:type="dxa"/>
              <w:right w:w="105" w:type="dxa"/>
            </w:tcMar>
          </w:tcPr>
          <w:p w14:paraId="5B483AA1" w14:textId="49538FFA" w:rsidR="77BE0170" w:rsidRDefault="77BE0170" w:rsidP="77BE0170">
            <w:pPr>
              <w:spacing w:after="0" w:line="240" w:lineRule="auto"/>
              <w:jc w:val="center"/>
              <w:rPr>
                <w:rFonts w:ascii="Calibri" w:eastAsia="Calibri" w:hAnsi="Calibri" w:cs="Calibri"/>
                <w:color w:val="000000" w:themeColor="text1"/>
                <w:sz w:val="18"/>
                <w:szCs w:val="18"/>
              </w:rPr>
            </w:pPr>
            <w:r w:rsidRPr="77BE0170">
              <w:rPr>
                <w:rFonts w:ascii="Calibri" w:eastAsia="Calibri" w:hAnsi="Calibri" w:cs="Calibri"/>
                <w:b/>
                <w:bCs/>
                <w:color w:val="000000" w:themeColor="text1"/>
                <w:sz w:val="18"/>
                <w:szCs w:val="18"/>
                <w:lang w:val="en-GB"/>
              </w:rPr>
              <w:t>% Absolute Difference ≥0.2m</w:t>
            </w:r>
          </w:p>
        </w:tc>
        <w:tc>
          <w:tcPr>
            <w:tcW w:w="1305" w:type="dxa"/>
            <w:tcBorders>
              <w:top w:val="nil"/>
              <w:left w:val="single" w:sz="6" w:space="0" w:color="D9D9D9" w:themeColor="background1" w:themeShade="D9"/>
              <w:bottom w:val="single" w:sz="6" w:space="0" w:color="BFBFBF" w:themeColor="background1" w:themeShade="BF"/>
              <w:right w:val="single" w:sz="6" w:space="0" w:color="BFBFBF" w:themeColor="background1" w:themeShade="BF"/>
            </w:tcBorders>
            <w:tcMar>
              <w:left w:w="105" w:type="dxa"/>
              <w:right w:w="105" w:type="dxa"/>
            </w:tcMar>
            <w:vAlign w:val="center"/>
          </w:tcPr>
          <w:p w14:paraId="59DF262C" w14:textId="682FB3D1" w:rsidR="77BE0170" w:rsidRDefault="77BE0170" w:rsidP="77BE0170">
            <w:pPr>
              <w:spacing w:after="0" w:line="240" w:lineRule="auto"/>
              <w:jc w:val="center"/>
              <w:rPr>
                <w:rFonts w:ascii="Calibri" w:eastAsia="Calibri" w:hAnsi="Calibri" w:cs="Calibri"/>
                <w:color w:val="000000" w:themeColor="text1"/>
                <w:sz w:val="18"/>
                <w:szCs w:val="18"/>
              </w:rPr>
            </w:pPr>
            <w:r w:rsidRPr="77BE0170">
              <w:rPr>
                <w:rFonts w:ascii="Calibri" w:eastAsia="Calibri" w:hAnsi="Calibri" w:cs="Calibri"/>
                <w:b/>
                <w:bCs/>
                <w:color w:val="000000" w:themeColor="text1"/>
                <w:sz w:val="18"/>
                <w:szCs w:val="18"/>
                <w:lang w:val="en-GB"/>
              </w:rPr>
              <w:t>MAD (m)</w:t>
            </w:r>
          </w:p>
        </w:tc>
      </w:tr>
      <w:tr w:rsidR="77BE0170" w14:paraId="3E8F3F4A" w14:textId="77777777" w:rsidTr="77BE0170">
        <w:trPr>
          <w:trHeight w:val="330"/>
        </w:trPr>
        <w:tc>
          <w:tcPr>
            <w:tcW w:w="1695" w:type="dxa"/>
            <w:tcBorders>
              <w:top w:val="single" w:sz="6" w:space="0" w:color="BFBFBF" w:themeColor="background1" w:themeShade="BF"/>
              <w:left w:val="single" w:sz="6" w:space="0" w:color="D9D9D9" w:themeColor="background1" w:themeShade="D9"/>
              <w:bottom w:val="single" w:sz="6" w:space="0" w:color="D9D9D9" w:themeColor="background1" w:themeShade="D9"/>
              <w:right w:val="single" w:sz="6" w:space="0" w:color="BFBFBF" w:themeColor="background1" w:themeShade="BF"/>
            </w:tcBorders>
            <w:tcMar>
              <w:left w:w="105" w:type="dxa"/>
              <w:right w:w="105" w:type="dxa"/>
            </w:tcMar>
            <w:vAlign w:val="center"/>
          </w:tcPr>
          <w:p w14:paraId="09F833F9" w14:textId="2E9B8FAC" w:rsidR="77BE0170" w:rsidRDefault="77BE0170" w:rsidP="77BE0170">
            <w:pPr>
              <w:spacing w:after="0" w:line="240" w:lineRule="auto"/>
              <w:jc w:val="center"/>
              <w:rPr>
                <w:rFonts w:ascii="Calibri" w:eastAsia="Calibri" w:hAnsi="Calibri" w:cs="Calibri"/>
                <w:color w:val="000000" w:themeColor="text1"/>
                <w:sz w:val="18"/>
                <w:szCs w:val="18"/>
              </w:rPr>
            </w:pPr>
            <w:r w:rsidRPr="77BE0170">
              <w:rPr>
                <w:rFonts w:ascii="Calibri" w:eastAsia="Calibri" w:hAnsi="Calibri" w:cs="Calibri"/>
                <w:b/>
                <w:bCs/>
                <w:color w:val="000000" w:themeColor="text1"/>
                <w:sz w:val="18"/>
                <w:szCs w:val="18"/>
              </w:rPr>
              <w:t>DB3</w:t>
            </w:r>
          </w:p>
        </w:tc>
        <w:tc>
          <w:tcPr>
            <w:tcW w:w="990" w:type="dxa"/>
            <w:tcBorders>
              <w:top w:val="single" w:sz="6" w:space="0" w:color="BFBFBF" w:themeColor="background1" w:themeShade="BF"/>
              <w:left w:val="single" w:sz="6" w:space="0" w:color="BFBFBF" w:themeColor="background1" w:themeShade="BF"/>
              <w:bottom w:val="single" w:sz="6" w:space="0" w:color="D9D9D9" w:themeColor="background1" w:themeShade="D9"/>
              <w:right w:val="single" w:sz="6" w:space="0" w:color="D9D9D9" w:themeColor="background1" w:themeShade="D9"/>
            </w:tcBorders>
            <w:shd w:val="clear" w:color="auto" w:fill="93ADDC"/>
            <w:tcMar>
              <w:left w:w="105" w:type="dxa"/>
              <w:right w:w="105" w:type="dxa"/>
            </w:tcMar>
            <w:vAlign w:val="center"/>
          </w:tcPr>
          <w:p w14:paraId="392FBBEA" w14:textId="23BAC2FE" w:rsidR="77BE0170" w:rsidRDefault="77BE0170" w:rsidP="77BE0170">
            <w:pPr>
              <w:spacing w:after="0" w:line="240" w:lineRule="auto"/>
              <w:jc w:val="center"/>
              <w:rPr>
                <w:rFonts w:ascii="Calibri" w:eastAsia="Calibri" w:hAnsi="Calibri" w:cs="Calibri"/>
                <w:color w:val="000000" w:themeColor="text1"/>
                <w:sz w:val="18"/>
                <w:szCs w:val="18"/>
              </w:rPr>
            </w:pPr>
            <w:r w:rsidRPr="77BE0170">
              <w:rPr>
                <w:rFonts w:ascii="Calibri" w:eastAsia="Calibri" w:hAnsi="Calibri" w:cs="Calibri"/>
                <w:color w:val="000000" w:themeColor="text1"/>
                <w:sz w:val="18"/>
                <w:szCs w:val="18"/>
              </w:rPr>
              <w:t>-0.19</w:t>
            </w:r>
          </w:p>
        </w:tc>
        <w:tc>
          <w:tcPr>
            <w:tcW w:w="1125" w:type="dxa"/>
            <w:tcBorders>
              <w:top w:val="single" w:sz="6" w:space="0" w:color="BFBFBF" w:themeColor="background1" w:themeShade="BF"/>
              <w:left w:val="single" w:sz="6" w:space="0" w:color="D9D9D9" w:themeColor="background1" w:themeShade="D9"/>
              <w:bottom w:val="single" w:sz="6" w:space="0" w:color="D9D9D9" w:themeColor="background1" w:themeShade="D9"/>
              <w:right w:val="single" w:sz="6" w:space="0" w:color="D9D9D9" w:themeColor="background1" w:themeShade="D9"/>
            </w:tcBorders>
            <w:tcMar>
              <w:left w:w="105" w:type="dxa"/>
              <w:right w:w="105" w:type="dxa"/>
            </w:tcMar>
            <w:vAlign w:val="center"/>
          </w:tcPr>
          <w:p w14:paraId="48A63FDA" w14:textId="50A025A8" w:rsidR="77BE0170" w:rsidRDefault="77BE0170" w:rsidP="77BE0170">
            <w:pPr>
              <w:spacing w:after="0" w:line="240" w:lineRule="auto"/>
              <w:jc w:val="center"/>
              <w:rPr>
                <w:rFonts w:ascii="Calibri" w:eastAsia="Calibri" w:hAnsi="Calibri" w:cs="Calibri"/>
                <w:color w:val="000000" w:themeColor="text1"/>
                <w:sz w:val="18"/>
                <w:szCs w:val="18"/>
              </w:rPr>
            </w:pPr>
            <w:r w:rsidRPr="77BE0170">
              <w:rPr>
                <w:rFonts w:ascii="Calibri" w:eastAsia="Calibri" w:hAnsi="Calibri" w:cs="Calibri"/>
                <w:color w:val="000000" w:themeColor="text1"/>
                <w:sz w:val="18"/>
                <w:szCs w:val="18"/>
              </w:rPr>
              <w:t>16%</w:t>
            </w:r>
          </w:p>
        </w:tc>
        <w:tc>
          <w:tcPr>
            <w:tcW w:w="1320" w:type="dxa"/>
            <w:tcBorders>
              <w:top w:val="single" w:sz="6" w:space="0" w:color="BFBFBF" w:themeColor="background1" w:themeShade="BF"/>
              <w:left w:val="single" w:sz="6" w:space="0" w:color="D9D9D9" w:themeColor="background1" w:themeShade="D9"/>
              <w:bottom w:val="single" w:sz="6" w:space="0" w:color="D9D9D9" w:themeColor="background1" w:themeShade="D9"/>
              <w:right w:val="single" w:sz="6" w:space="0" w:color="BFBFBF" w:themeColor="background1" w:themeShade="BF"/>
            </w:tcBorders>
            <w:tcMar>
              <w:left w:w="105" w:type="dxa"/>
              <w:right w:w="105" w:type="dxa"/>
            </w:tcMar>
            <w:vAlign w:val="center"/>
          </w:tcPr>
          <w:p w14:paraId="6EE7BA3A" w14:textId="46E5CED3" w:rsidR="77BE0170" w:rsidRDefault="77BE0170" w:rsidP="77BE0170">
            <w:pPr>
              <w:spacing w:after="0" w:line="240" w:lineRule="auto"/>
              <w:jc w:val="center"/>
              <w:rPr>
                <w:rFonts w:ascii="Calibri" w:eastAsia="Calibri" w:hAnsi="Calibri" w:cs="Calibri"/>
                <w:color w:val="000000" w:themeColor="text1"/>
                <w:sz w:val="18"/>
                <w:szCs w:val="18"/>
              </w:rPr>
            </w:pPr>
            <w:r w:rsidRPr="77BE0170">
              <w:rPr>
                <w:rFonts w:ascii="Calibri" w:eastAsia="Calibri" w:hAnsi="Calibri" w:cs="Calibri"/>
                <w:color w:val="000000" w:themeColor="text1"/>
                <w:sz w:val="18"/>
                <w:szCs w:val="18"/>
              </w:rPr>
              <w:t>0.19</w:t>
            </w:r>
          </w:p>
        </w:tc>
        <w:tc>
          <w:tcPr>
            <w:tcW w:w="1230" w:type="dxa"/>
            <w:tcBorders>
              <w:top w:val="single" w:sz="6" w:space="0" w:color="BFBFBF" w:themeColor="background1" w:themeShade="BF"/>
              <w:left w:val="single" w:sz="6" w:space="0" w:color="BFBFBF" w:themeColor="background1" w:themeShade="BF"/>
              <w:bottom w:val="single" w:sz="6" w:space="0" w:color="D9D9D9" w:themeColor="background1" w:themeShade="D9"/>
              <w:right w:val="single" w:sz="6" w:space="0" w:color="D9D9D9" w:themeColor="background1" w:themeShade="D9"/>
            </w:tcBorders>
            <w:shd w:val="clear" w:color="auto" w:fill="8EA9DB"/>
            <w:tcMar>
              <w:left w:w="105" w:type="dxa"/>
              <w:right w:w="105" w:type="dxa"/>
            </w:tcMar>
            <w:vAlign w:val="center"/>
          </w:tcPr>
          <w:p w14:paraId="531ED223" w14:textId="656E607A" w:rsidR="77BE0170" w:rsidRDefault="77BE0170" w:rsidP="77BE0170">
            <w:pPr>
              <w:spacing w:after="0" w:line="240" w:lineRule="auto"/>
              <w:jc w:val="center"/>
              <w:rPr>
                <w:rFonts w:ascii="Calibri" w:eastAsia="Calibri" w:hAnsi="Calibri" w:cs="Calibri"/>
                <w:color w:val="000000" w:themeColor="text1"/>
                <w:sz w:val="18"/>
                <w:szCs w:val="18"/>
              </w:rPr>
            </w:pPr>
            <w:r w:rsidRPr="77BE0170">
              <w:rPr>
                <w:rFonts w:ascii="Calibri" w:eastAsia="Calibri" w:hAnsi="Calibri" w:cs="Calibri"/>
                <w:color w:val="000000" w:themeColor="text1"/>
                <w:sz w:val="18"/>
                <w:szCs w:val="18"/>
              </w:rPr>
              <w:t>-0.2</w:t>
            </w:r>
          </w:p>
        </w:tc>
        <w:tc>
          <w:tcPr>
            <w:tcW w:w="1305" w:type="dxa"/>
            <w:tcBorders>
              <w:top w:val="single" w:sz="6" w:space="0" w:color="BFBFBF" w:themeColor="background1" w:themeShade="BF"/>
              <w:left w:val="single" w:sz="6" w:space="0" w:color="D9D9D9" w:themeColor="background1" w:themeShade="D9"/>
              <w:bottom w:val="single" w:sz="6" w:space="0" w:color="D9D9D9" w:themeColor="background1" w:themeShade="D9"/>
              <w:right w:val="single" w:sz="6" w:space="0" w:color="D9D9D9" w:themeColor="background1" w:themeShade="D9"/>
            </w:tcBorders>
            <w:tcMar>
              <w:left w:w="105" w:type="dxa"/>
              <w:right w:w="105" w:type="dxa"/>
            </w:tcMar>
            <w:vAlign w:val="center"/>
          </w:tcPr>
          <w:p w14:paraId="647B72B1" w14:textId="7987AC97" w:rsidR="77BE0170" w:rsidRDefault="77BE0170" w:rsidP="77BE0170">
            <w:pPr>
              <w:spacing w:after="0" w:line="240" w:lineRule="auto"/>
              <w:jc w:val="center"/>
              <w:rPr>
                <w:rFonts w:ascii="Calibri" w:eastAsia="Calibri" w:hAnsi="Calibri" w:cs="Calibri"/>
                <w:color w:val="000000" w:themeColor="text1"/>
                <w:sz w:val="18"/>
                <w:szCs w:val="18"/>
              </w:rPr>
            </w:pPr>
            <w:r w:rsidRPr="77BE0170">
              <w:rPr>
                <w:rFonts w:ascii="Calibri" w:eastAsia="Calibri" w:hAnsi="Calibri" w:cs="Calibri"/>
                <w:color w:val="000000" w:themeColor="text1"/>
                <w:sz w:val="18"/>
                <w:szCs w:val="18"/>
              </w:rPr>
              <w:t>17%</w:t>
            </w:r>
          </w:p>
        </w:tc>
        <w:tc>
          <w:tcPr>
            <w:tcW w:w="1305" w:type="dxa"/>
            <w:tcBorders>
              <w:top w:val="single" w:sz="6" w:space="0" w:color="BFBFBF" w:themeColor="background1" w:themeShade="BF"/>
              <w:left w:val="single" w:sz="6" w:space="0" w:color="D9D9D9" w:themeColor="background1" w:themeShade="D9"/>
              <w:bottom w:val="single" w:sz="6" w:space="0" w:color="D9D9D9" w:themeColor="background1" w:themeShade="D9"/>
              <w:right w:val="single" w:sz="6" w:space="0" w:color="BFBFBF" w:themeColor="background1" w:themeShade="BF"/>
            </w:tcBorders>
            <w:tcMar>
              <w:left w:w="105" w:type="dxa"/>
              <w:right w:w="105" w:type="dxa"/>
            </w:tcMar>
            <w:vAlign w:val="center"/>
          </w:tcPr>
          <w:p w14:paraId="2B6ED818" w14:textId="59951E8E" w:rsidR="77BE0170" w:rsidRDefault="77BE0170" w:rsidP="77BE0170">
            <w:pPr>
              <w:spacing w:after="0" w:line="240" w:lineRule="auto"/>
              <w:jc w:val="center"/>
              <w:rPr>
                <w:rFonts w:ascii="Calibri" w:eastAsia="Calibri" w:hAnsi="Calibri" w:cs="Calibri"/>
                <w:color w:val="000000" w:themeColor="text1"/>
                <w:sz w:val="18"/>
                <w:szCs w:val="18"/>
              </w:rPr>
            </w:pPr>
            <w:r w:rsidRPr="77BE0170">
              <w:rPr>
                <w:rFonts w:ascii="Calibri" w:eastAsia="Calibri" w:hAnsi="Calibri" w:cs="Calibri"/>
                <w:color w:val="000000" w:themeColor="text1"/>
                <w:sz w:val="18"/>
                <w:szCs w:val="18"/>
              </w:rPr>
              <w:t>0.2</w:t>
            </w:r>
          </w:p>
        </w:tc>
      </w:tr>
      <w:tr w:rsidR="77BE0170" w14:paraId="0B59B717" w14:textId="77777777" w:rsidTr="77BE0170">
        <w:trPr>
          <w:trHeight w:val="330"/>
        </w:trPr>
        <w:tc>
          <w:tcPr>
            <w:tcW w:w="1695"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BFBFBF" w:themeColor="background1" w:themeShade="BF"/>
            </w:tcBorders>
            <w:tcMar>
              <w:left w:w="105" w:type="dxa"/>
              <w:right w:w="105" w:type="dxa"/>
            </w:tcMar>
            <w:vAlign w:val="center"/>
          </w:tcPr>
          <w:p w14:paraId="7FC25E38" w14:textId="24E567D3" w:rsidR="77BE0170" w:rsidRDefault="77BE0170" w:rsidP="77BE0170">
            <w:pPr>
              <w:spacing w:after="0" w:line="240" w:lineRule="auto"/>
              <w:jc w:val="center"/>
              <w:rPr>
                <w:rFonts w:ascii="Calibri" w:eastAsia="Calibri" w:hAnsi="Calibri" w:cs="Calibri"/>
                <w:color w:val="000000" w:themeColor="text1"/>
                <w:sz w:val="18"/>
                <w:szCs w:val="18"/>
              </w:rPr>
            </w:pPr>
            <w:r w:rsidRPr="77BE0170">
              <w:rPr>
                <w:rFonts w:ascii="Calibri" w:eastAsia="Calibri" w:hAnsi="Calibri" w:cs="Calibri"/>
                <w:b/>
                <w:bCs/>
                <w:color w:val="000000" w:themeColor="text1"/>
                <w:sz w:val="18"/>
                <w:szCs w:val="18"/>
              </w:rPr>
              <w:t>WH5</w:t>
            </w:r>
          </w:p>
        </w:tc>
        <w:tc>
          <w:tcPr>
            <w:tcW w:w="990" w:type="dxa"/>
            <w:tcBorders>
              <w:top w:val="single" w:sz="6" w:space="0" w:color="D9D9D9" w:themeColor="background1" w:themeShade="D9"/>
              <w:left w:val="single" w:sz="6" w:space="0" w:color="BFBFBF" w:themeColor="background1" w:themeShade="BF"/>
              <w:bottom w:val="single" w:sz="6" w:space="0" w:color="D9D9D9" w:themeColor="background1" w:themeShade="D9"/>
              <w:right w:val="single" w:sz="6" w:space="0" w:color="D9D9D9" w:themeColor="background1" w:themeShade="D9"/>
            </w:tcBorders>
            <w:shd w:val="clear" w:color="auto" w:fill="DDE5F4"/>
            <w:tcMar>
              <w:left w:w="105" w:type="dxa"/>
              <w:right w:w="105" w:type="dxa"/>
            </w:tcMar>
            <w:vAlign w:val="center"/>
          </w:tcPr>
          <w:p w14:paraId="5229D3BC" w14:textId="6DC2E15A" w:rsidR="77BE0170" w:rsidRDefault="77BE0170" w:rsidP="77BE0170">
            <w:pPr>
              <w:spacing w:after="0" w:line="240" w:lineRule="auto"/>
              <w:jc w:val="center"/>
              <w:rPr>
                <w:rFonts w:ascii="Calibri" w:eastAsia="Calibri" w:hAnsi="Calibri" w:cs="Calibri"/>
                <w:color w:val="000000" w:themeColor="text1"/>
                <w:sz w:val="18"/>
                <w:szCs w:val="18"/>
              </w:rPr>
            </w:pPr>
            <w:r w:rsidRPr="77BE0170">
              <w:rPr>
                <w:rFonts w:ascii="Calibri" w:eastAsia="Calibri" w:hAnsi="Calibri" w:cs="Calibri"/>
                <w:color w:val="000000" w:themeColor="text1"/>
                <w:sz w:val="18"/>
                <w:szCs w:val="18"/>
              </w:rPr>
              <w:t>-0.06</w:t>
            </w:r>
          </w:p>
        </w:tc>
        <w:tc>
          <w:tcPr>
            <w:tcW w:w="1125"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Mar>
              <w:left w:w="105" w:type="dxa"/>
              <w:right w:w="105" w:type="dxa"/>
            </w:tcMar>
            <w:vAlign w:val="center"/>
          </w:tcPr>
          <w:p w14:paraId="317262EB" w14:textId="264E8082" w:rsidR="77BE0170" w:rsidRDefault="77BE0170" w:rsidP="77BE0170">
            <w:pPr>
              <w:spacing w:after="0" w:line="240" w:lineRule="auto"/>
              <w:jc w:val="center"/>
              <w:rPr>
                <w:rFonts w:ascii="Calibri" w:eastAsia="Calibri" w:hAnsi="Calibri" w:cs="Calibri"/>
                <w:color w:val="000000" w:themeColor="text1"/>
                <w:sz w:val="18"/>
                <w:szCs w:val="18"/>
              </w:rPr>
            </w:pPr>
            <w:r w:rsidRPr="77BE0170">
              <w:rPr>
                <w:rFonts w:ascii="Calibri" w:eastAsia="Calibri" w:hAnsi="Calibri" w:cs="Calibri"/>
                <w:color w:val="000000" w:themeColor="text1"/>
                <w:sz w:val="18"/>
                <w:szCs w:val="18"/>
              </w:rPr>
              <w:t>8%</w:t>
            </w:r>
          </w:p>
        </w:tc>
        <w:tc>
          <w:tcPr>
            <w:tcW w:w="1320"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BFBFBF" w:themeColor="background1" w:themeShade="BF"/>
            </w:tcBorders>
            <w:tcMar>
              <w:left w:w="105" w:type="dxa"/>
              <w:right w:w="105" w:type="dxa"/>
            </w:tcMar>
            <w:vAlign w:val="center"/>
          </w:tcPr>
          <w:p w14:paraId="45716BFC" w14:textId="6C3BE695" w:rsidR="77BE0170" w:rsidRDefault="77BE0170" w:rsidP="77BE0170">
            <w:pPr>
              <w:spacing w:after="0" w:line="240" w:lineRule="auto"/>
              <w:jc w:val="center"/>
              <w:rPr>
                <w:rFonts w:ascii="Calibri" w:eastAsia="Calibri" w:hAnsi="Calibri" w:cs="Calibri"/>
                <w:color w:val="000000" w:themeColor="text1"/>
                <w:sz w:val="18"/>
                <w:szCs w:val="18"/>
              </w:rPr>
            </w:pPr>
            <w:r w:rsidRPr="77BE0170">
              <w:rPr>
                <w:rFonts w:ascii="Calibri" w:eastAsia="Calibri" w:hAnsi="Calibri" w:cs="Calibri"/>
                <w:color w:val="000000" w:themeColor="text1"/>
                <w:sz w:val="18"/>
                <w:szCs w:val="18"/>
              </w:rPr>
              <w:t>0.08</w:t>
            </w:r>
          </w:p>
        </w:tc>
        <w:tc>
          <w:tcPr>
            <w:tcW w:w="1230" w:type="dxa"/>
            <w:tcBorders>
              <w:top w:val="single" w:sz="6" w:space="0" w:color="D9D9D9" w:themeColor="background1" w:themeShade="D9"/>
              <w:left w:val="single" w:sz="6" w:space="0" w:color="BFBFBF" w:themeColor="background1" w:themeShade="BF"/>
              <w:bottom w:val="single" w:sz="6" w:space="0" w:color="D9D9D9" w:themeColor="background1" w:themeShade="D9"/>
              <w:right w:val="single" w:sz="6" w:space="0" w:color="D9D9D9" w:themeColor="background1" w:themeShade="D9"/>
            </w:tcBorders>
            <w:shd w:val="clear" w:color="auto" w:fill="A4BAE2"/>
            <w:tcMar>
              <w:left w:w="105" w:type="dxa"/>
              <w:right w:w="105" w:type="dxa"/>
            </w:tcMar>
            <w:vAlign w:val="center"/>
          </w:tcPr>
          <w:p w14:paraId="1BDB60B7" w14:textId="3386D780" w:rsidR="77BE0170" w:rsidRDefault="77BE0170" w:rsidP="77BE0170">
            <w:pPr>
              <w:spacing w:after="0" w:line="240" w:lineRule="auto"/>
              <w:jc w:val="center"/>
              <w:rPr>
                <w:rFonts w:ascii="Calibri" w:eastAsia="Calibri" w:hAnsi="Calibri" w:cs="Calibri"/>
                <w:color w:val="000000" w:themeColor="text1"/>
                <w:sz w:val="18"/>
                <w:szCs w:val="18"/>
              </w:rPr>
            </w:pPr>
            <w:r w:rsidRPr="77BE0170">
              <w:rPr>
                <w:rFonts w:ascii="Calibri" w:eastAsia="Calibri" w:hAnsi="Calibri" w:cs="Calibri"/>
                <w:color w:val="000000" w:themeColor="text1"/>
                <w:sz w:val="18"/>
                <w:szCs w:val="18"/>
              </w:rPr>
              <w:t>-0.16</w:t>
            </w:r>
          </w:p>
        </w:tc>
        <w:tc>
          <w:tcPr>
            <w:tcW w:w="1305"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Mar>
              <w:left w:w="105" w:type="dxa"/>
              <w:right w:w="105" w:type="dxa"/>
            </w:tcMar>
            <w:vAlign w:val="center"/>
          </w:tcPr>
          <w:p w14:paraId="0E92B393" w14:textId="7104235F" w:rsidR="77BE0170" w:rsidRDefault="77BE0170" w:rsidP="77BE0170">
            <w:pPr>
              <w:spacing w:after="0" w:line="240" w:lineRule="auto"/>
              <w:jc w:val="center"/>
              <w:rPr>
                <w:rFonts w:ascii="Calibri" w:eastAsia="Calibri" w:hAnsi="Calibri" w:cs="Calibri"/>
                <w:color w:val="000000" w:themeColor="text1"/>
                <w:sz w:val="18"/>
                <w:szCs w:val="18"/>
              </w:rPr>
            </w:pPr>
            <w:r w:rsidRPr="77BE0170">
              <w:rPr>
                <w:rFonts w:ascii="Calibri" w:eastAsia="Calibri" w:hAnsi="Calibri" w:cs="Calibri"/>
                <w:color w:val="000000" w:themeColor="text1"/>
                <w:sz w:val="18"/>
                <w:szCs w:val="18"/>
              </w:rPr>
              <w:t>32%</w:t>
            </w:r>
          </w:p>
        </w:tc>
        <w:tc>
          <w:tcPr>
            <w:tcW w:w="1305"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BFBFBF" w:themeColor="background1" w:themeShade="BF"/>
            </w:tcBorders>
            <w:tcMar>
              <w:left w:w="105" w:type="dxa"/>
              <w:right w:w="105" w:type="dxa"/>
            </w:tcMar>
            <w:vAlign w:val="center"/>
          </w:tcPr>
          <w:p w14:paraId="49245621" w14:textId="24650E79" w:rsidR="77BE0170" w:rsidRDefault="77BE0170" w:rsidP="77BE0170">
            <w:pPr>
              <w:spacing w:after="0" w:line="240" w:lineRule="auto"/>
              <w:jc w:val="center"/>
              <w:rPr>
                <w:rFonts w:ascii="Calibri" w:eastAsia="Calibri" w:hAnsi="Calibri" w:cs="Calibri"/>
                <w:color w:val="000000" w:themeColor="text1"/>
                <w:sz w:val="18"/>
                <w:szCs w:val="18"/>
              </w:rPr>
            </w:pPr>
            <w:r w:rsidRPr="77BE0170">
              <w:rPr>
                <w:rFonts w:ascii="Calibri" w:eastAsia="Calibri" w:hAnsi="Calibri" w:cs="Calibri"/>
                <w:color w:val="000000" w:themeColor="text1"/>
                <w:sz w:val="18"/>
                <w:szCs w:val="18"/>
              </w:rPr>
              <w:t>0.16</w:t>
            </w:r>
          </w:p>
        </w:tc>
      </w:tr>
      <w:tr w:rsidR="77BE0170" w14:paraId="11956849" w14:textId="77777777" w:rsidTr="77BE0170">
        <w:trPr>
          <w:trHeight w:val="330"/>
        </w:trPr>
        <w:tc>
          <w:tcPr>
            <w:tcW w:w="1695"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BFBFBF" w:themeColor="background1" w:themeShade="BF"/>
            </w:tcBorders>
            <w:tcMar>
              <w:left w:w="105" w:type="dxa"/>
              <w:right w:w="105" w:type="dxa"/>
            </w:tcMar>
            <w:vAlign w:val="center"/>
          </w:tcPr>
          <w:p w14:paraId="4A64106B" w14:textId="5F48B183" w:rsidR="77BE0170" w:rsidRDefault="77BE0170" w:rsidP="77BE0170">
            <w:pPr>
              <w:spacing w:after="0" w:line="240" w:lineRule="auto"/>
              <w:jc w:val="center"/>
              <w:rPr>
                <w:rFonts w:ascii="Calibri" w:eastAsia="Calibri" w:hAnsi="Calibri" w:cs="Calibri"/>
                <w:color w:val="000000" w:themeColor="text1"/>
                <w:sz w:val="18"/>
                <w:szCs w:val="18"/>
              </w:rPr>
            </w:pPr>
            <w:r w:rsidRPr="77BE0170">
              <w:rPr>
                <w:rFonts w:ascii="Calibri" w:eastAsia="Calibri" w:hAnsi="Calibri" w:cs="Calibri"/>
                <w:b/>
                <w:bCs/>
                <w:color w:val="000000" w:themeColor="text1"/>
                <w:sz w:val="18"/>
                <w:szCs w:val="18"/>
              </w:rPr>
              <w:t>GB8</w:t>
            </w:r>
          </w:p>
        </w:tc>
        <w:tc>
          <w:tcPr>
            <w:tcW w:w="990" w:type="dxa"/>
            <w:tcBorders>
              <w:top w:val="single" w:sz="6" w:space="0" w:color="D9D9D9" w:themeColor="background1" w:themeShade="D9"/>
              <w:left w:val="single" w:sz="6" w:space="0" w:color="BFBFBF" w:themeColor="background1" w:themeShade="BF"/>
              <w:bottom w:val="single" w:sz="6" w:space="0" w:color="D9D9D9" w:themeColor="background1" w:themeShade="D9"/>
              <w:right w:val="single" w:sz="6" w:space="0" w:color="D9D9D9" w:themeColor="background1" w:themeShade="D9"/>
            </w:tcBorders>
            <w:shd w:val="clear" w:color="auto" w:fill="FFE3E3"/>
            <w:tcMar>
              <w:left w:w="105" w:type="dxa"/>
              <w:right w:w="105" w:type="dxa"/>
            </w:tcMar>
            <w:vAlign w:val="center"/>
          </w:tcPr>
          <w:p w14:paraId="5518A4AD" w14:textId="593DD83C" w:rsidR="77BE0170" w:rsidRDefault="77BE0170" w:rsidP="77BE0170">
            <w:pPr>
              <w:spacing w:after="0" w:line="240" w:lineRule="auto"/>
              <w:jc w:val="center"/>
              <w:rPr>
                <w:rFonts w:ascii="Calibri" w:eastAsia="Calibri" w:hAnsi="Calibri" w:cs="Calibri"/>
                <w:color w:val="000000" w:themeColor="text1"/>
                <w:sz w:val="18"/>
                <w:szCs w:val="18"/>
              </w:rPr>
            </w:pPr>
            <w:r w:rsidRPr="77BE0170">
              <w:rPr>
                <w:rFonts w:ascii="Calibri" w:eastAsia="Calibri" w:hAnsi="Calibri" w:cs="Calibri"/>
                <w:color w:val="000000" w:themeColor="text1"/>
                <w:sz w:val="18"/>
                <w:szCs w:val="18"/>
              </w:rPr>
              <w:t>0.11</w:t>
            </w:r>
          </w:p>
        </w:tc>
        <w:tc>
          <w:tcPr>
            <w:tcW w:w="1125"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Mar>
              <w:left w:w="105" w:type="dxa"/>
              <w:right w:w="105" w:type="dxa"/>
            </w:tcMar>
            <w:vAlign w:val="center"/>
          </w:tcPr>
          <w:p w14:paraId="388B2802" w14:textId="2C9DFF37" w:rsidR="77BE0170" w:rsidRDefault="77BE0170" w:rsidP="77BE0170">
            <w:pPr>
              <w:spacing w:after="0" w:line="240" w:lineRule="auto"/>
              <w:jc w:val="center"/>
              <w:rPr>
                <w:rFonts w:ascii="Calibri" w:eastAsia="Calibri" w:hAnsi="Calibri" w:cs="Calibri"/>
                <w:color w:val="000000" w:themeColor="text1"/>
                <w:sz w:val="18"/>
                <w:szCs w:val="18"/>
              </w:rPr>
            </w:pPr>
            <w:r w:rsidRPr="77BE0170">
              <w:rPr>
                <w:rFonts w:ascii="Calibri" w:eastAsia="Calibri" w:hAnsi="Calibri" w:cs="Calibri"/>
                <w:color w:val="000000" w:themeColor="text1"/>
                <w:sz w:val="18"/>
                <w:szCs w:val="18"/>
              </w:rPr>
              <w:t>23%</w:t>
            </w:r>
          </w:p>
        </w:tc>
        <w:tc>
          <w:tcPr>
            <w:tcW w:w="1320"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BFBFBF" w:themeColor="background1" w:themeShade="BF"/>
            </w:tcBorders>
            <w:tcMar>
              <w:left w:w="105" w:type="dxa"/>
              <w:right w:w="105" w:type="dxa"/>
            </w:tcMar>
            <w:vAlign w:val="center"/>
          </w:tcPr>
          <w:p w14:paraId="7AE772AF" w14:textId="52E49A79" w:rsidR="77BE0170" w:rsidRDefault="77BE0170" w:rsidP="77BE0170">
            <w:pPr>
              <w:spacing w:after="0" w:line="240" w:lineRule="auto"/>
              <w:jc w:val="center"/>
              <w:rPr>
                <w:rFonts w:ascii="Calibri" w:eastAsia="Calibri" w:hAnsi="Calibri" w:cs="Calibri"/>
                <w:color w:val="000000" w:themeColor="text1"/>
                <w:sz w:val="18"/>
                <w:szCs w:val="18"/>
              </w:rPr>
            </w:pPr>
            <w:r w:rsidRPr="77BE0170">
              <w:rPr>
                <w:rFonts w:ascii="Calibri" w:eastAsia="Calibri" w:hAnsi="Calibri" w:cs="Calibri"/>
                <w:color w:val="000000" w:themeColor="text1"/>
                <w:sz w:val="18"/>
                <w:szCs w:val="18"/>
              </w:rPr>
              <w:t>0.13</w:t>
            </w:r>
          </w:p>
        </w:tc>
        <w:tc>
          <w:tcPr>
            <w:tcW w:w="1230" w:type="dxa"/>
            <w:tcBorders>
              <w:top w:val="single" w:sz="6" w:space="0" w:color="D9D9D9" w:themeColor="background1" w:themeShade="D9"/>
              <w:left w:val="single" w:sz="6" w:space="0" w:color="BFBFBF" w:themeColor="background1" w:themeShade="BF"/>
              <w:bottom w:val="single" w:sz="6" w:space="0" w:color="D9D9D9" w:themeColor="background1" w:themeShade="D9"/>
              <w:right w:val="single" w:sz="6" w:space="0" w:color="D9D9D9" w:themeColor="background1" w:themeShade="D9"/>
            </w:tcBorders>
            <w:shd w:val="clear" w:color="auto" w:fill="FFE3E3"/>
            <w:tcMar>
              <w:left w:w="105" w:type="dxa"/>
              <w:right w:w="105" w:type="dxa"/>
            </w:tcMar>
            <w:vAlign w:val="center"/>
          </w:tcPr>
          <w:p w14:paraId="55CBCF2D" w14:textId="15736E82" w:rsidR="77BE0170" w:rsidRDefault="77BE0170" w:rsidP="77BE0170">
            <w:pPr>
              <w:spacing w:after="0" w:line="240" w:lineRule="auto"/>
              <w:jc w:val="center"/>
              <w:rPr>
                <w:rFonts w:ascii="Calibri" w:eastAsia="Calibri" w:hAnsi="Calibri" w:cs="Calibri"/>
                <w:color w:val="000000" w:themeColor="text1"/>
                <w:sz w:val="18"/>
                <w:szCs w:val="18"/>
              </w:rPr>
            </w:pPr>
            <w:r w:rsidRPr="77BE0170">
              <w:rPr>
                <w:rFonts w:ascii="Calibri" w:eastAsia="Calibri" w:hAnsi="Calibri" w:cs="Calibri"/>
                <w:color w:val="000000" w:themeColor="text1"/>
                <w:sz w:val="18"/>
                <w:szCs w:val="18"/>
              </w:rPr>
              <w:t>0.11</w:t>
            </w:r>
          </w:p>
        </w:tc>
        <w:tc>
          <w:tcPr>
            <w:tcW w:w="1305"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Mar>
              <w:left w:w="105" w:type="dxa"/>
              <w:right w:w="105" w:type="dxa"/>
            </w:tcMar>
            <w:vAlign w:val="center"/>
          </w:tcPr>
          <w:p w14:paraId="50BD7923" w14:textId="11E3D046" w:rsidR="77BE0170" w:rsidRDefault="77BE0170" w:rsidP="77BE0170">
            <w:pPr>
              <w:spacing w:after="0" w:line="240" w:lineRule="auto"/>
              <w:jc w:val="center"/>
              <w:rPr>
                <w:rFonts w:ascii="Calibri" w:eastAsia="Calibri" w:hAnsi="Calibri" w:cs="Calibri"/>
                <w:color w:val="000000" w:themeColor="text1"/>
                <w:sz w:val="18"/>
                <w:szCs w:val="18"/>
              </w:rPr>
            </w:pPr>
            <w:r w:rsidRPr="77BE0170">
              <w:rPr>
                <w:rFonts w:ascii="Calibri" w:eastAsia="Calibri" w:hAnsi="Calibri" w:cs="Calibri"/>
                <w:color w:val="000000" w:themeColor="text1"/>
                <w:sz w:val="18"/>
                <w:szCs w:val="18"/>
              </w:rPr>
              <w:t>26%</w:t>
            </w:r>
          </w:p>
        </w:tc>
        <w:tc>
          <w:tcPr>
            <w:tcW w:w="1305"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BFBFBF" w:themeColor="background1" w:themeShade="BF"/>
            </w:tcBorders>
            <w:tcMar>
              <w:left w:w="105" w:type="dxa"/>
              <w:right w:w="105" w:type="dxa"/>
            </w:tcMar>
            <w:vAlign w:val="center"/>
          </w:tcPr>
          <w:p w14:paraId="52975955" w14:textId="785F8DBA" w:rsidR="77BE0170" w:rsidRDefault="77BE0170" w:rsidP="77BE0170">
            <w:pPr>
              <w:spacing w:after="0" w:line="240" w:lineRule="auto"/>
              <w:jc w:val="center"/>
              <w:rPr>
                <w:rFonts w:ascii="Calibri" w:eastAsia="Calibri" w:hAnsi="Calibri" w:cs="Calibri"/>
                <w:color w:val="000000" w:themeColor="text1"/>
                <w:sz w:val="18"/>
                <w:szCs w:val="18"/>
              </w:rPr>
            </w:pPr>
            <w:r w:rsidRPr="77BE0170">
              <w:rPr>
                <w:rFonts w:ascii="Calibri" w:eastAsia="Calibri" w:hAnsi="Calibri" w:cs="Calibri"/>
                <w:color w:val="000000" w:themeColor="text1"/>
                <w:sz w:val="18"/>
                <w:szCs w:val="18"/>
              </w:rPr>
              <w:t>0.13</w:t>
            </w:r>
          </w:p>
        </w:tc>
      </w:tr>
      <w:tr w:rsidR="77BE0170" w14:paraId="36A9DD59" w14:textId="77777777" w:rsidTr="77BE0170">
        <w:trPr>
          <w:trHeight w:val="330"/>
        </w:trPr>
        <w:tc>
          <w:tcPr>
            <w:tcW w:w="1695"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BFBFBF" w:themeColor="background1" w:themeShade="BF"/>
            </w:tcBorders>
            <w:tcMar>
              <w:left w:w="105" w:type="dxa"/>
              <w:right w:w="105" w:type="dxa"/>
            </w:tcMar>
            <w:vAlign w:val="center"/>
          </w:tcPr>
          <w:p w14:paraId="70C5B87F" w14:textId="1339E466" w:rsidR="77BE0170" w:rsidRDefault="77BE0170" w:rsidP="77BE0170">
            <w:pPr>
              <w:spacing w:after="0" w:line="240" w:lineRule="auto"/>
              <w:jc w:val="center"/>
              <w:rPr>
                <w:rFonts w:ascii="Calibri" w:eastAsia="Calibri" w:hAnsi="Calibri" w:cs="Calibri"/>
                <w:color w:val="000000" w:themeColor="text1"/>
                <w:sz w:val="18"/>
                <w:szCs w:val="18"/>
              </w:rPr>
            </w:pPr>
            <w:r w:rsidRPr="77BE0170">
              <w:rPr>
                <w:rFonts w:ascii="Calibri" w:eastAsia="Calibri" w:hAnsi="Calibri" w:cs="Calibri"/>
                <w:b/>
                <w:bCs/>
                <w:color w:val="000000" w:themeColor="text1"/>
                <w:sz w:val="18"/>
                <w:szCs w:val="18"/>
              </w:rPr>
              <w:t>WH9</w:t>
            </w:r>
          </w:p>
        </w:tc>
        <w:tc>
          <w:tcPr>
            <w:tcW w:w="990" w:type="dxa"/>
            <w:tcBorders>
              <w:top w:val="single" w:sz="6" w:space="0" w:color="D9D9D9" w:themeColor="background1" w:themeShade="D9"/>
              <w:left w:val="single" w:sz="6" w:space="0" w:color="BFBFBF" w:themeColor="background1" w:themeShade="BF"/>
              <w:bottom w:val="single" w:sz="6" w:space="0" w:color="D9D9D9" w:themeColor="background1" w:themeShade="D9"/>
              <w:right w:val="single" w:sz="6" w:space="0" w:color="D9D9D9" w:themeColor="background1" w:themeShade="D9"/>
            </w:tcBorders>
            <w:shd w:val="clear" w:color="auto" w:fill="DDE5F4"/>
            <w:tcMar>
              <w:left w:w="105" w:type="dxa"/>
              <w:right w:w="105" w:type="dxa"/>
            </w:tcMar>
            <w:vAlign w:val="center"/>
          </w:tcPr>
          <w:p w14:paraId="2B229DAB" w14:textId="3E823CB4" w:rsidR="77BE0170" w:rsidRDefault="77BE0170" w:rsidP="77BE0170">
            <w:pPr>
              <w:spacing w:after="0" w:line="240" w:lineRule="auto"/>
              <w:jc w:val="center"/>
              <w:rPr>
                <w:rFonts w:ascii="Calibri" w:eastAsia="Calibri" w:hAnsi="Calibri" w:cs="Calibri"/>
                <w:color w:val="000000" w:themeColor="text1"/>
                <w:sz w:val="18"/>
                <w:szCs w:val="18"/>
              </w:rPr>
            </w:pPr>
            <w:r w:rsidRPr="77BE0170">
              <w:rPr>
                <w:rFonts w:ascii="Calibri" w:eastAsia="Calibri" w:hAnsi="Calibri" w:cs="Calibri"/>
                <w:color w:val="000000" w:themeColor="text1"/>
                <w:sz w:val="18"/>
                <w:szCs w:val="18"/>
              </w:rPr>
              <w:t>-0.06</w:t>
            </w:r>
          </w:p>
        </w:tc>
        <w:tc>
          <w:tcPr>
            <w:tcW w:w="1125"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Mar>
              <w:left w:w="105" w:type="dxa"/>
              <w:right w:w="105" w:type="dxa"/>
            </w:tcMar>
            <w:vAlign w:val="center"/>
          </w:tcPr>
          <w:p w14:paraId="59B2EEC3" w14:textId="4774AE9E" w:rsidR="77BE0170" w:rsidRDefault="77BE0170" w:rsidP="77BE0170">
            <w:pPr>
              <w:spacing w:after="0" w:line="240" w:lineRule="auto"/>
              <w:jc w:val="center"/>
              <w:rPr>
                <w:rFonts w:ascii="Calibri" w:eastAsia="Calibri" w:hAnsi="Calibri" w:cs="Calibri"/>
                <w:color w:val="000000" w:themeColor="text1"/>
                <w:sz w:val="18"/>
                <w:szCs w:val="18"/>
              </w:rPr>
            </w:pPr>
            <w:r w:rsidRPr="77BE0170">
              <w:rPr>
                <w:rFonts w:ascii="Calibri" w:eastAsia="Calibri" w:hAnsi="Calibri" w:cs="Calibri"/>
                <w:color w:val="000000" w:themeColor="text1"/>
                <w:sz w:val="18"/>
                <w:szCs w:val="18"/>
              </w:rPr>
              <w:t>6%</w:t>
            </w:r>
          </w:p>
        </w:tc>
        <w:tc>
          <w:tcPr>
            <w:tcW w:w="1320"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BFBFBF" w:themeColor="background1" w:themeShade="BF"/>
            </w:tcBorders>
            <w:tcMar>
              <w:left w:w="105" w:type="dxa"/>
              <w:right w:w="105" w:type="dxa"/>
            </w:tcMar>
            <w:vAlign w:val="center"/>
          </w:tcPr>
          <w:p w14:paraId="5012CC66" w14:textId="01F3BE71" w:rsidR="77BE0170" w:rsidRDefault="77BE0170" w:rsidP="77BE0170">
            <w:pPr>
              <w:spacing w:after="0" w:line="240" w:lineRule="auto"/>
              <w:jc w:val="center"/>
              <w:rPr>
                <w:rFonts w:ascii="Calibri" w:eastAsia="Calibri" w:hAnsi="Calibri" w:cs="Calibri"/>
                <w:color w:val="000000" w:themeColor="text1"/>
                <w:sz w:val="18"/>
                <w:szCs w:val="18"/>
              </w:rPr>
            </w:pPr>
            <w:r w:rsidRPr="77BE0170">
              <w:rPr>
                <w:rFonts w:ascii="Calibri" w:eastAsia="Calibri" w:hAnsi="Calibri" w:cs="Calibri"/>
                <w:color w:val="000000" w:themeColor="text1"/>
                <w:sz w:val="18"/>
                <w:szCs w:val="18"/>
              </w:rPr>
              <w:t>0.08</w:t>
            </w:r>
          </w:p>
        </w:tc>
        <w:tc>
          <w:tcPr>
            <w:tcW w:w="1230" w:type="dxa"/>
            <w:tcBorders>
              <w:top w:val="single" w:sz="6" w:space="0" w:color="D9D9D9" w:themeColor="background1" w:themeShade="D9"/>
              <w:left w:val="single" w:sz="6" w:space="0" w:color="BFBFBF" w:themeColor="background1" w:themeShade="BF"/>
              <w:bottom w:val="single" w:sz="6" w:space="0" w:color="D9D9D9" w:themeColor="background1" w:themeShade="D9"/>
              <w:right w:val="single" w:sz="6" w:space="0" w:color="D9D9D9" w:themeColor="background1" w:themeShade="D9"/>
            </w:tcBorders>
            <w:shd w:val="clear" w:color="auto" w:fill="CCD8EE"/>
            <w:tcMar>
              <w:left w:w="105" w:type="dxa"/>
              <w:right w:w="105" w:type="dxa"/>
            </w:tcMar>
            <w:vAlign w:val="center"/>
          </w:tcPr>
          <w:p w14:paraId="080FB4E1" w14:textId="5A3887E9" w:rsidR="77BE0170" w:rsidRDefault="77BE0170" w:rsidP="77BE0170">
            <w:pPr>
              <w:spacing w:after="0" w:line="240" w:lineRule="auto"/>
              <w:jc w:val="center"/>
              <w:rPr>
                <w:rFonts w:ascii="Calibri" w:eastAsia="Calibri" w:hAnsi="Calibri" w:cs="Calibri"/>
                <w:color w:val="000000" w:themeColor="text1"/>
                <w:sz w:val="18"/>
                <w:szCs w:val="18"/>
              </w:rPr>
            </w:pPr>
            <w:r w:rsidRPr="77BE0170">
              <w:rPr>
                <w:rFonts w:ascii="Calibri" w:eastAsia="Calibri" w:hAnsi="Calibri" w:cs="Calibri"/>
                <w:color w:val="000000" w:themeColor="text1"/>
                <w:sz w:val="18"/>
                <w:szCs w:val="18"/>
              </w:rPr>
              <w:t>-0.09</w:t>
            </w:r>
          </w:p>
        </w:tc>
        <w:tc>
          <w:tcPr>
            <w:tcW w:w="1305"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Mar>
              <w:left w:w="105" w:type="dxa"/>
              <w:right w:w="105" w:type="dxa"/>
            </w:tcMar>
            <w:vAlign w:val="center"/>
          </w:tcPr>
          <w:p w14:paraId="5E476A3D" w14:textId="4FAAB22C" w:rsidR="77BE0170" w:rsidRDefault="77BE0170" w:rsidP="77BE0170">
            <w:pPr>
              <w:spacing w:after="0" w:line="240" w:lineRule="auto"/>
              <w:jc w:val="center"/>
              <w:rPr>
                <w:rFonts w:ascii="Calibri" w:eastAsia="Calibri" w:hAnsi="Calibri" w:cs="Calibri"/>
                <w:color w:val="000000" w:themeColor="text1"/>
                <w:sz w:val="18"/>
                <w:szCs w:val="18"/>
              </w:rPr>
            </w:pPr>
            <w:r w:rsidRPr="77BE0170">
              <w:rPr>
                <w:rFonts w:ascii="Calibri" w:eastAsia="Calibri" w:hAnsi="Calibri" w:cs="Calibri"/>
                <w:color w:val="000000" w:themeColor="text1"/>
                <w:sz w:val="18"/>
                <w:szCs w:val="18"/>
              </w:rPr>
              <w:t>13%</w:t>
            </w:r>
          </w:p>
        </w:tc>
        <w:tc>
          <w:tcPr>
            <w:tcW w:w="1305"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BFBFBF" w:themeColor="background1" w:themeShade="BF"/>
            </w:tcBorders>
            <w:tcMar>
              <w:left w:w="105" w:type="dxa"/>
              <w:right w:w="105" w:type="dxa"/>
            </w:tcMar>
            <w:vAlign w:val="center"/>
          </w:tcPr>
          <w:p w14:paraId="2513C6D2" w14:textId="1984A11E" w:rsidR="77BE0170" w:rsidRDefault="77BE0170" w:rsidP="77BE0170">
            <w:pPr>
              <w:spacing w:after="0" w:line="240" w:lineRule="auto"/>
              <w:jc w:val="center"/>
              <w:rPr>
                <w:rFonts w:ascii="Calibri" w:eastAsia="Calibri" w:hAnsi="Calibri" w:cs="Calibri"/>
                <w:color w:val="000000" w:themeColor="text1"/>
                <w:sz w:val="18"/>
                <w:szCs w:val="18"/>
              </w:rPr>
            </w:pPr>
            <w:r w:rsidRPr="77BE0170">
              <w:rPr>
                <w:rFonts w:ascii="Calibri" w:eastAsia="Calibri" w:hAnsi="Calibri" w:cs="Calibri"/>
                <w:color w:val="000000" w:themeColor="text1"/>
                <w:sz w:val="18"/>
                <w:szCs w:val="18"/>
              </w:rPr>
              <w:t>0.1</w:t>
            </w:r>
          </w:p>
        </w:tc>
      </w:tr>
      <w:tr w:rsidR="77BE0170" w14:paraId="0970085D" w14:textId="77777777" w:rsidTr="77BE0170">
        <w:trPr>
          <w:trHeight w:val="330"/>
        </w:trPr>
        <w:tc>
          <w:tcPr>
            <w:tcW w:w="1695"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BFBFBF" w:themeColor="background1" w:themeShade="BF"/>
            </w:tcBorders>
            <w:tcMar>
              <w:left w:w="105" w:type="dxa"/>
              <w:right w:w="105" w:type="dxa"/>
            </w:tcMar>
            <w:vAlign w:val="center"/>
          </w:tcPr>
          <w:p w14:paraId="0FC2E118" w14:textId="218BF763" w:rsidR="77BE0170" w:rsidRDefault="77BE0170" w:rsidP="77BE0170">
            <w:pPr>
              <w:spacing w:after="0" w:line="240" w:lineRule="auto"/>
              <w:jc w:val="center"/>
              <w:rPr>
                <w:rFonts w:ascii="Calibri" w:eastAsia="Calibri" w:hAnsi="Calibri" w:cs="Calibri"/>
                <w:color w:val="000000" w:themeColor="text1"/>
                <w:sz w:val="18"/>
                <w:szCs w:val="18"/>
              </w:rPr>
            </w:pPr>
            <w:r w:rsidRPr="77BE0170">
              <w:rPr>
                <w:rFonts w:ascii="Calibri" w:eastAsia="Calibri" w:hAnsi="Calibri" w:cs="Calibri"/>
                <w:b/>
                <w:bCs/>
                <w:color w:val="000000" w:themeColor="text1"/>
                <w:sz w:val="18"/>
                <w:szCs w:val="18"/>
              </w:rPr>
              <w:t>CH5</w:t>
            </w:r>
          </w:p>
        </w:tc>
        <w:tc>
          <w:tcPr>
            <w:tcW w:w="990" w:type="dxa"/>
            <w:tcBorders>
              <w:top w:val="single" w:sz="6" w:space="0" w:color="D9D9D9" w:themeColor="background1" w:themeShade="D9"/>
              <w:left w:val="single" w:sz="6" w:space="0" w:color="BFBFBF" w:themeColor="background1" w:themeShade="BF"/>
              <w:bottom w:val="single" w:sz="6" w:space="0" w:color="D9D9D9" w:themeColor="background1" w:themeShade="D9"/>
              <w:right w:val="single" w:sz="6" w:space="0" w:color="D9D9D9" w:themeColor="background1" w:themeShade="D9"/>
            </w:tcBorders>
            <w:shd w:val="clear" w:color="auto" w:fill="E2E9F6"/>
            <w:tcMar>
              <w:left w:w="105" w:type="dxa"/>
              <w:right w:w="105" w:type="dxa"/>
            </w:tcMar>
            <w:vAlign w:val="center"/>
          </w:tcPr>
          <w:p w14:paraId="63CEE377" w14:textId="348D94DF" w:rsidR="77BE0170" w:rsidRDefault="77BE0170" w:rsidP="77BE0170">
            <w:pPr>
              <w:spacing w:after="0" w:line="240" w:lineRule="auto"/>
              <w:jc w:val="center"/>
              <w:rPr>
                <w:rFonts w:ascii="Calibri" w:eastAsia="Calibri" w:hAnsi="Calibri" w:cs="Calibri"/>
                <w:color w:val="000000" w:themeColor="text1"/>
                <w:sz w:val="18"/>
                <w:szCs w:val="18"/>
              </w:rPr>
            </w:pPr>
            <w:r w:rsidRPr="77BE0170">
              <w:rPr>
                <w:rFonts w:ascii="Calibri" w:eastAsia="Calibri" w:hAnsi="Calibri" w:cs="Calibri"/>
                <w:color w:val="000000" w:themeColor="text1"/>
                <w:sz w:val="18"/>
                <w:szCs w:val="18"/>
              </w:rPr>
              <w:t>-0.05</w:t>
            </w:r>
          </w:p>
        </w:tc>
        <w:tc>
          <w:tcPr>
            <w:tcW w:w="1125"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Mar>
              <w:left w:w="105" w:type="dxa"/>
              <w:right w:w="105" w:type="dxa"/>
            </w:tcMar>
            <w:vAlign w:val="center"/>
          </w:tcPr>
          <w:p w14:paraId="7734B0DF" w14:textId="1EC40B98" w:rsidR="77BE0170" w:rsidRDefault="77BE0170" w:rsidP="77BE0170">
            <w:pPr>
              <w:spacing w:after="0" w:line="240" w:lineRule="auto"/>
              <w:jc w:val="center"/>
              <w:rPr>
                <w:rFonts w:ascii="Calibri" w:eastAsia="Calibri" w:hAnsi="Calibri" w:cs="Calibri"/>
                <w:color w:val="000000" w:themeColor="text1"/>
                <w:sz w:val="18"/>
                <w:szCs w:val="18"/>
              </w:rPr>
            </w:pPr>
            <w:r w:rsidRPr="77BE0170">
              <w:rPr>
                <w:rFonts w:ascii="Calibri" w:eastAsia="Calibri" w:hAnsi="Calibri" w:cs="Calibri"/>
                <w:color w:val="000000" w:themeColor="text1"/>
                <w:sz w:val="18"/>
                <w:szCs w:val="18"/>
              </w:rPr>
              <w:t>9%</w:t>
            </w:r>
          </w:p>
        </w:tc>
        <w:tc>
          <w:tcPr>
            <w:tcW w:w="1320"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BFBFBF" w:themeColor="background1" w:themeShade="BF"/>
            </w:tcBorders>
            <w:tcMar>
              <w:left w:w="105" w:type="dxa"/>
              <w:right w:w="105" w:type="dxa"/>
            </w:tcMar>
            <w:vAlign w:val="center"/>
          </w:tcPr>
          <w:p w14:paraId="62E17937" w14:textId="7A9E6B17" w:rsidR="77BE0170" w:rsidRDefault="77BE0170" w:rsidP="77BE0170">
            <w:pPr>
              <w:spacing w:after="0" w:line="240" w:lineRule="auto"/>
              <w:jc w:val="center"/>
              <w:rPr>
                <w:rFonts w:ascii="Calibri" w:eastAsia="Calibri" w:hAnsi="Calibri" w:cs="Calibri"/>
                <w:color w:val="000000" w:themeColor="text1"/>
                <w:sz w:val="18"/>
                <w:szCs w:val="18"/>
              </w:rPr>
            </w:pPr>
            <w:r w:rsidRPr="77BE0170">
              <w:rPr>
                <w:rFonts w:ascii="Calibri" w:eastAsia="Calibri" w:hAnsi="Calibri" w:cs="Calibri"/>
                <w:color w:val="000000" w:themeColor="text1"/>
                <w:sz w:val="18"/>
                <w:szCs w:val="18"/>
              </w:rPr>
              <w:t>0.09</w:t>
            </w:r>
          </w:p>
        </w:tc>
        <w:tc>
          <w:tcPr>
            <w:tcW w:w="1230" w:type="dxa"/>
            <w:tcBorders>
              <w:top w:val="single" w:sz="6" w:space="0" w:color="D9D9D9" w:themeColor="background1" w:themeShade="D9"/>
              <w:left w:val="single" w:sz="6" w:space="0" w:color="BFBFBF" w:themeColor="background1" w:themeShade="BF"/>
              <w:bottom w:val="single" w:sz="6" w:space="0" w:color="D9D9D9" w:themeColor="background1" w:themeShade="D9"/>
              <w:right w:val="single" w:sz="6" w:space="0" w:color="D9D9D9" w:themeColor="background1" w:themeShade="D9"/>
            </w:tcBorders>
            <w:shd w:val="clear" w:color="auto" w:fill="D7E0F2"/>
            <w:tcMar>
              <w:left w:w="105" w:type="dxa"/>
              <w:right w:w="105" w:type="dxa"/>
            </w:tcMar>
            <w:vAlign w:val="center"/>
          </w:tcPr>
          <w:p w14:paraId="08F5D5CC" w14:textId="629FEE60" w:rsidR="77BE0170" w:rsidRDefault="77BE0170" w:rsidP="77BE0170">
            <w:pPr>
              <w:spacing w:after="0" w:line="240" w:lineRule="auto"/>
              <w:jc w:val="center"/>
              <w:rPr>
                <w:rFonts w:ascii="Calibri" w:eastAsia="Calibri" w:hAnsi="Calibri" w:cs="Calibri"/>
                <w:color w:val="000000" w:themeColor="text1"/>
                <w:sz w:val="18"/>
                <w:szCs w:val="18"/>
              </w:rPr>
            </w:pPr>
            <w:r w:rsidRPr="77BE0170">
              <w:rPr>
                <w:rFonts w:ascii="Calibri" w:eastAsia="Calibri" w:hAnsi="Calibri" w:cs="Calibri"/>
                <w:color w:val="000000" w:themeColor="text1"/>
                <w:sz w:val="18"/>
                <w:szCs w:val="18"/>
              </w:rPr>
              <w:t>-0.07</w:t>
            </w:r>
          </w:p>
        </w:tc>
        <w:tc>
          <w:tcPr>
            <w:tcW w:w="1305"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Mar>
              <w:left w:w="105" w:type="dxa"/>
              <w:right w:w="105" w:type="dxa"/>
            </w:tcMar>
            <w:vAlign w:val="center"/>
          </w:tcPr>
          <w:p w14:paraId="12D5644B" w14:textId="6C43FBC2" w:rsidR="77BE0170" w:rsidRDefault="77BE0170" w:rsidP="77BE0170">
            <w:pPr>
              <w:spacing w:after="0" w:line="240" w:lineRule="auto"/>
              <w:jc w:val="center"/>
              <w:rPr>
                <w:rFonts w:ascii="Calibri" w:eastAsia="Calibri" w:hAnsi="Calibri" w:cs="Calibri"/>
                <w:color w:val="000000" w:themeColor="text1"/>
                <w:sz w:val="18"/>
                <w:szCs w:val="18"/>
              </w:rPr>
            </w:pPr>
            <w:r w:rsidRPr="77BE0170">
              <w:rPr>
                <w:rFonts w:ascii="Calibri" w:eastAsia="Calibri" w:hAnsi="Calibri" w:cs="Calibri"/>
                <w:color w:val="000000" w:themeColor="text1"/>
                <w:sz w:val="18"/>
                <w:szCs w:val="18"/>
              </w:rPr>
              <w:t>9%</w:t>
            </w:r>
          </w:p>
        </w:tc>
        <w:tc>
          <w:tcPr>
            <w:tcW w:w="1305"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BFBFBF" w:themeColor="background1" w:themeShade="BF"/>
            </w:tcBorders>
            <w:tcMar>
              <w:left w:w="105" w:type="dxa"/>
              <w:right w:w="105" w:type="dxa"/>
            </w:tcMar>
            <w:vAlign w:val="center"/>
          </w:tcPr>
          <w:p w14:paraId="27ED9AD5" w14:textId="4C81F7FF" w:rsidR="77BE0170" w:rsidRDefault="77BE0170" w:rsidP="77BE0170">
            <w:pPr>
              <w:spacing w:after="0" w:line="240" w:lineRule="auto"/>
              <w:jc w:val="center"/>
              <w:rPr>
                <w:rFonts w:ascii="Calibri" w:eastAsia="Calibri" w:hAnsi="Calibri" w:cs="Calibri"/>
                <w:color w:val="000000" w:themeColor="text1"/>
                <w:sz w:val="18"/>
                <w:szCs w:val="18"/>
              </w:rPr>
            </w:pPr>
            <w:r w:rsidRPr="77BE0170">
              <w:rPr>
                <w:rFonts w:ascii="Calibri" w:eastAsia="Calibri" w:hAnsi="Calibri" w:cs="Calibri"/>
                <w:color w:val="000000" w:themeColor="text1"/>
                <w:sz w:val="18"/>
                <w:szCs w:val="18"/>
              </w:rPr>
              <w:t>0.09</w:t>
            </w:r>
          </w:p>
        </w:tc>
      </w:tr>
      <w:tr w:rsidR="77BE0170" w14:paraId="4FF9F0E0" w14:textId="77777777" w:rsidTr="77BE0170">
        <w:trPr>
          <w:trHeight w:val="330"/>
        </w:trPr>
        <w:tc>
          <w:tcPr>
            <w:tcW w:w="1695"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BFBFBF" w:themeColor="background1" w:themeShade="BF"/>
            </w:tcBorders>
            <w:tcMar>
              <w:left w:w="105" w:type="dxa"/>
              <w:right w:w="105" w:type="dxa"/>
            </w:tcMar>
            <w:vAlign w:val="center"/>
          </w:tcPr>
          <w:p w14:paraId="2ECCCB7D" w14:textId="1601D415" w:rsidR="77BE0170" w:rsidRDefault="77BE0170" w:rsidP="77BE0170">
            <w:pPr>
              <w:spacing w:after="0" w:line="240" w:lineRule="auto"/>
              <w:jc w:val="center"/>
              <w:rPr>
                <w:rFonts w:ascii="Calibri" w:eastAsia="Calibri" w:hAnsi="Calibri" w:cs="Calibri"/>
                <w:color w:val="000000" w:themeColor="text1"/>
                <w:sz w:val="18"/>
                <w:szCs w:val="18"/>
              </w:rPr>
            </w:pPr>
            <w:r w:rsidRPr="77BE0170">
              <w:rPr>
                <w:rFonts w:ascii="Calibri" w:eastAsia="Calibri" w:hAnsi="Calibri" w:cs="Calibri"/>
                <w:b/>
                <w:bCs/>
                <w:color w:val="000000" w:themeColor="text1"/>
                <w:sz w:val="18"/>
                <w:szCs w:val="18"/>
              </w:rPr>
              <w:t>Arklow</w:t>
            </w:r>
          </w:p>
        </w:tc>
        <w:tc>
          <w:tcPr>
            <w:tcW w:w="990" w:type="dxa"/>
            <w:tcBorders>
              <w:top w:val="single" w:sz="6" w:space="0" w:color="D9D9D9" w:themeColor="background1" w:themeShade="D9"/>
              <w:left w:val="single" w:sz="6" w:space="0" w:color="BFBFBF" w:themeColor="background1" w:themeShade="BF"/>
              <w:bottom w:val="single" w:sz="6" w:space="0" w:color="D9D9D9" w:themeColor="background1" w:themeShade="D9"/>
              <w:right w:val="single" w:sz="6" w:space="0" w:color="D9D9D9" w:themeColor="background1" w:themeShade="D9"/>
            </w:tcBorders>
            <w:shd w:val="clear" w:color="auto" w:fill="F3F6FB"/>
            <w:tcMar>
              <w:left w:w="105" w:type="dxa"/>
              <w:right w:w="105" w:type="dxa"/>
            </w:tcMar>
            <w:vAlign w:val="center"/>
          </w:tcPr>
          <w:p w14:paraId="224F4C0C" w14:textId="03AFCB44" w:rsidR="77BE0170" w:rsidRDefault="77BE0170" w:rsidP="77BE0170">
            <w:pPr>
              <w:spacing w:after="0" w:line="240" w:lineRule="auto"/>
              <w:jc w:val="center"/>
              <w:rPr>
                <w:rFonts w:ascii="Calibri" w:eastAsia="Calibri" w:hAnsi="Calibri" w:cs="Calibri"/>
                <w:color w:val="000000" w:themeColor="text1"/>
                <w:sz w:val="18"/>
                <w:szCs w:val="18"/>
              </w:rPr>
            </w:pPr>
            <w:r w:rsidRPr="77BE0170">
              <w:rPr>
                <w:rFonts w:ascii="Calibri" w:eastAsia="Calibri" w:hAnsi="Calibri" w:cs="Calibri"/>
                <w:color w:val="000000" w:themeColor="text1"/>
                <w:sz w:val="18"/>
                <w:szCs w:val="18"/>
              </w:rPr>
              <w:t>-0.02</w:t>
            </w:r>
          </w:p>
        </w:tc>
        <w:tc>
          <w:tcPr>
            <w:tcW w:w="1125"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Mar>
              <w:left w:w="105" w:type="dxa"/>
              <w:right w:w="105" w:type="dxa"/>
            </w:tcMar>
            <w:vAlign w:val="center"/>
          </w:tcPr>
          <w:p w14:paraId="4DDB68DE" w14:textId="2A80C17F" w:rsidR="77BE0170" w:rsidRDefault="77BE0170" w:rsidP="77BE0170">
            <w:pPr>
              <w:spacing w:after="0" w:line="240" w:lineRule="auto"/>
              <w:jc w:val="center"/>
              <w:rPr>
                <w:rFonts w:ascii="Calibri" w:eastAsia="Calibri" w:hAnsi="Calibri" w:cs="Calibri"/>
                <w:color w:val="000000" w:themeColor="text1"/>
                <w:sz w:val="18"/>
                <w:szCs w:val="18"/>
              </w:rPr>
            </w:pPr>
            <w:r w:rsidRPr="77BE0170">
              <w:rPr>
                <w:rFonts w:ascii="Calibri" w:eastAsia="Calibri" w:hAnsi="Calibri" w:cs="Calibri"/>
                <w:color w:val="000000" w:themeColor="text1"/>
                <w:sz w:val="18"/>
                <w:szCs w:val="18"/>
              </w:rPr>
              <w:t>17%</w:t>
            </w:r>
          </w:p>
        </w:tc>
        <w:tc>
          <w:tcPr>
            <w:tcW w:w="1320"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BFBFBF" w:themeColor="background1" w:themeShade="BF"/>
            </w:tcBorders>
            <w:tcMar>
              <w:left w:w="105" w:type="dxa"/>
              <w:right w:w="105" w:type="dxa"/>
            </w:tcMar>
            <w:vAlign w:val="center"/>
          </w:tcPr>
          <w:p w14:paraId="0B46F1F6" w14:textId="4B398C84" w:rsidR="77BE0170" w:rsidRDefault="77BE0170" w:rsidP="77BE0170">
            <w:pPr>
              <w:spacing w:after="0" w:line="240" w:lineRule="auto"/>
              <w:jc w:val="center"/>
              <w:rPr>
                <w:rFonts w:ascii="Calibri" w:eastAsia="Calibri" w:hAnsi="Calibri" w:cs="Calibri"/>
                <w:color w:val="000000" w:themeColor="text1"/>
                <w:sz w:val="18"/>
                <w:szCs w:val="18"/>
              </w:rPr>
            </w:pPr>
            <w:r w:rsidRPr="77BE0170">
              <w:rPr>
                <w:rFonts w:ascii="Calibri" w:eastAsia="Calibri" w:hAnsi="Calibri" w:cs="Calibri"/>
                <w:color w:val="000000" w:themeColor="text1"/>
                <w:sz w:val="18"/>
                <w:szCs w:val="18"/>
              </w:rPr>
              <w:t>0.13</w:t>
            </w:r>
          </w:p>
        </w:tc>
        <w:tc>
          <w:tcPr>
            <w:tcW w:w="1230" w:type="dxa"/>
            <w:tcBorders>
              <w:top w:val="single" w:sz="6" w:space="0" w:color="D9D9D9" w:themeColor="background1" w:themeShade="D9"/>
              <w:left w:val="single" w:sz="6" w:space="0" w:color="BFBFBF" w:themeColor="background1" w:themeShade="BF"/>
              <w:bottom w:val="single" w:sz="6" w:space="0" w:color="D9D9D9" w:themeColor="background1" w:themeShade="D9"/>
              <w:right w:val="single" w:sz="6" w:space="0" w:color="D9D9D9" w:themeColor="background1" w:themeShade="D9"/>
            </w:tcBorders>
            <w:shd w:val="clear" w:color="auto" w:fill="99B1DE"/>
            <w:tcMar>
              <w:left w:w="105" w:type="dxa"/>
              <w:right w:w="105" w:type="dxa"/>
            </w:tcMar>
            <w:vAlign w:val="center"/>
          </w:tcPr>
          <w:p w14:paraId="031FC302" w14:textId="0B8DDD5E" w:rsidR="77BE0170" w:rsidRDefault="77BE0170" w:rsidP="77BE0170">
            <w:pPr>
              <w:spacing w:after="0" w:line="240" w:lineRule="auto"/>
              <w:jc w:val="center"/>
              <w:rPr>
                <w:rFonts w:ascii="Calibri" w:eastAsia="Calibri" w:hAnsi="Calibri" w:cs="Calibri"/>
                <w:color w:val="000000" w:themeColor="text1"/>
                <w:sz w:val="18"/>
                <w:szCs w:val="18"/>
              </w:rPr>
            </w:pPr>
            <w:r w:rsidRPr="77BE0170">
              <w:rPr>
                <w:rFonts w:ascii="Calibri" w:eastAsia="Calibri" w:hAnsi="Calibri" w:cs="Calibri"/>
                <w:color w:val="000000" w:themeColor="text1"/>
                <w:sz w:val="18"/>
                <w:szCs w:val="18"/>
              </w:rPr>
              <w:t>-0.18</w:t>
            </w:r>
          </w:p>
        </w:tc>
        <w:tc>
          <w:tcPr>
            <w:tcW w:w="1305"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Mar>
              <w:left w:w="105" w:type="dxa"/>
              <w:right w:w="105" w:type="dxa"/>
            </w:tcMar>
            <w:vAlign w:val="center"/>
          </w:tcPr>
          <w:p w14:paraId="55C59E47" w14:textId="2A539D63" w:rsidR="77BE0170" w:rsidRDefault="77BE0170" w:rsidP="77BE0170">
            <w:pPr>
              <w:spacing w:after="0" w:line="240" w:lineRule="auto"/>
              <w:jc w:val="center"/>
              <w:rPr>
                <w:rFonts w:ascii="Calibri" w:eastAsia="Calibri" w:hAnsi="Calibri" w:cs="Calibri"/>
                <w:color w:val="000000" w:themeColor="text1"/>
                <w:sz w:val="18"/>
                <w:szCs w:val="18"/>
              </w:rPr>
            </w:pPr>
            <w:r w:rsidRPr="77BE0170">
              <w:rPr>
                <w:rFonts w:ascii="Calibri" w:eastAsia="Calibri" w:hAnsi="Calibri" w:cs="Calibri"/>
                <w:color w:val="000000" w:themeColor="text1"/>
                <w:sz w:val="18"/>
                <w:szCs w:val="18"/>
              </w:rPr>
              <w:t>41%</w:t>
            </w:r>
          </w:p>
        </w:tc>
        <w:tc>
          <w:tcPr>
            <w:tcW w:w="1305"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BFBFBF" w:themeColor="background1" w:themeShade="BF"/>
            </w:tcBorders>
            <w:tcMar>
              <w:left w:w="105" w:type="dxa"/>
              <w:right w:w="105" w:type="dxa"/>
            </w:tcMar>
            <w:vAlign w:val="center"/>
          </w:tcPr>
          <w:p w14:paraId="6552A220" w14:textId="692AAADB" w:rsidR="77BE0170" w:rsidRDefault="77BE0170" w:rsidP="77BE0170">
            <w:pPr>
              <w:spacing w:after="0" w:line="240" w:lineRule="auto"/>
              <w:jc w:val="center"/>
              <w:rPr>
                <w:rFonts w:ascii="Calibri" w:eastAsia="Calibri" w:hAnsi="Calibri" w:cs="Calibri"/>
                <w:color w:val="000000" w:themeColor="text1"/>
                <w:sz w:val="18"/>
                <w:szCs w:val="18"/>
              </w:rPr>
            </w:pPr>
            <w:r w:rsidRPr="77BE0170">
              <w:rPr>
                <w:rFonts w:ascii="Calibri" w:eastAsia="Calibri" w:hAnsi="Calibri" w:cs="Calibri"/>
                <w:color w:val="000000" w:themeColor="text1"/>
                <w:sz w:val="18"/>
                <w:szCs w:val="18"/>
              </w:rPr>
              <w:t>0.18</w:t>
            </w:r>
          </w:p>
        </w:tc>
      </w:tr>
      <w:tr w:rsidR="77BE0170" w14:paraId="2EFF6BD1" w14:textId="77777777" w:rsidTr="77BE0170">
        <w:trPr>
          <w:trHeight w:val="330"/>
        </w:trPr>
        <w:tc>
          <w:tcPr>
            <w:tcW w:w="1695"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BFBFBF" w:themeColor="background1" w:themeShade="BF"/>
            </w:tcBorders>
            <w:tcMar>
              <w:left w:w="105" w:type="dxa"/>
              <w:right w:w="105" w:type="dxa"/>
            </w:tcMar>
            <w:vAlign w:val="center"/>
          </w:tcPr>
          <w:p w14:paraId="5315842B" w14:textId="7D18DB9F" w:rsidR="77BE0170" w:rsidRDefault="77BE0170" w:rsidP="77BE0170">
            <w:pPr>
              <w:spacing w:after="0" w:line="240" w:lineRule="auto"/>
              <w:jc w:val="center"/>
              <w:rPr>
                <w:rFonts w:ascii="Calibri" w:eastAsia="Calibri" w:hAnsi="Calibri" w:cs="Calibri"/>
                <w:color w:val="000000" w:themeColor="text1"/>
                <w:sz w:val="18"/>
                <w:szCs w:val="18"/>
              </w:rPr>
            </w:pPr>
            <w:r w:rsidRPr="77BE0170">
              <w:rPr>
                <w:rFonts w:ascii="Calibri" w:eastAsia="Calibri" w:hAnsi="Calibri" w:cs="Calibri"/>
                <w:b/>
                <w:bCs/>
                <w:color w:val="000000" w:themeColor="text1"/>
                <w:sz w:val="18"/>
                <w:szCs w:val="18"/>
              </w:rPr>
              <w:t>SE6</w:t>
            </w:r>
          </w:p>
        </w:tc>
        <w:tc>
          <w:tcPr>
            <w:tcW w:w="990" w:type="dxa"/>
            <w:tcBorders>
              <w:top w:val="single" w:sz="6" w:space="0" w:color="D9D9D9" w:themeColor="background1" w:themeShade="D9"/>
              <w:left w:val="single" w:sz="6" w:space="0" w:color="BFBFBF" w:themeColor="background1" w:themeShade="BF"/>
              <w:bottom w:val="single" w:sz="6" w:space="0" w:color="D9D9D9" w:themeColor="background1" w:themeShade="D9"/>
              <w:right w:val="single" w:sz="6" w:space="0" w:color="D9D9D9" w:themeColor="background1" w:themeShade="D9"/>
            </w:tcBorders>
            <w:shd w:val="clear" w:color="auto" w:fill="E8EDF7"/>
            <w:tcMar>
              <w:left w:w="105" w:type="dxa"/>
              <w:right w:w="105" w:type="dxa"/>
            </w:tcMar>
            <w:vAlign w:val="center"/>
          </w:tcPr>
          <w:p w14:paraId="62FABE2C" w14:textId="3142D279" w:rsidR="77BE0170" w:rsidRDefault="77BE0170" w:rsidP="77BE0170">
            <w:pPr>
              <w:spacing w:after="0" w:line="240" w:lineRule="auto"/>
              <w:jc w:val="center"/>
              <w:rPr>
                <w:rFonts w:ascii="Calibri" w:eastAsia="Calibri" w:hAnsi="Calibri" w:cs="Calibri"/>
                <w:color w:val="000000" w:themeColor="text1"/>
                <w:sz w:val="18"/>
                <w:szCs w:val="18"/>
              </w:rPr>
            </w:pPr>
            <w:r w:rsidRPr="77BE0170">
              <w:rPr>
                <w:rFonts w:ascii="Calibri" w:eastAsia="Calibri" w:hAnsi="Calibri" w:cs="Calibri"/>
                <w:color w:val="000000" w:themeColor="text1"/>
                <w:sz w:val="18"/>
                <w:szCs w:val="18"/>
              </w:rPr>
              <w:t>-0.04</w:t>
            </w:r>
          </w:p>
        </w:tc>
        <w:tc>
          <w:tcPr>
            <w:tcW w:w="1125"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Mar>
              <w:left w:w="105" w:type="dxa"/>
              <w:right w:w="105" w:type="dxa"/>
            </w:tcMar>
            <w:vAlign w:val="center"/>
          </w:tcPr>
          <w:p w14:paraId="20B8F97D" w14:textId="7C9087C9" w:rsidR="77BE0170" w:rsidRDefault="77BE0170" w:rsidP="77BE0170">
            <w:pPr>
              <w:spacing w:after="0" w:line="240" w:lineRule="auto"/>
              <w:jc w:val="center"/>
              <w:rPr>
                <w:rFonts w:ascii="Calibri" w:eastAsia="Calibri" w:hAnsi="Calibri" w:cs="Calibri"/>
                <w:color w:val="000000" w:themeColor="text1"/>
                <w:sz w:val="18"/>
                <w:szCs w:val="18"/>
              </w:rPr>
            </w:pPr>
            <w:r w:rsidRPr="77BE0170">
              <w:rPr>
                <w:rFonts w:ascii="Calibri" w:eastAsia="Calibri" w:hAnsi="Calibri" w:cs="Calibri"/>
                <w:color w:val="000000" w:themeColor="text1"/>
                <w:sz w:val="18"/>
                <w:szCs w:val="18"/>
              </w:rPr>
              <w:t>11%</w:t>
            </w:r>
          </w:p>
        </w:tc>
        <w:tc>
          <w:tcPr>
            <w:tcW w:w="1320"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BFBFBF" w:themeColor="background1" w:themeShade="BF"/>
            </w:tcBorders>
            <w:tcMar>
              <w:left w:w="105" w:type="dxa"/>
              <w:right w:w="105" w:type="dxa"/>
            </w:tcMar>
            <w:vAlign w:val="center"/>
          </w:tcPr>
          <w:p w14:paraId="405DD82E" w14:textId="7C50C61C" w:rsidR="77BE0170" w:rsidRDefault="77BE0170" w:rsidP="77BE0170">
            <w:pPr>
              <w:spacing w:after="0" w:line="240" w:lineRule="auto"/>
              <w:jc w:val="center"/>
              <w:rPr>
                <w:rFonts w:ascii="Calibri" w:eastAsia="Calibri" w:hAnsi="Calibri" w:cs="Calibri"/>
                <w:color w:val="000000" w:themeColor="text1"/>
                <w:sz w:val="18"/>
                <w:szCs w:val="18"/>
              </w:rPr>
            </w:pPr>
            <w:r w:rsidRPr="77BE0170">
              <w:rPr>
                <w:rFonts w:ascii="Calibri" w:eastAsia="Calibri" w:hAnsi="Calibri" w:cs="Calibri"/>
                <w:color w:val="000000" w:themeColor="text1"/>
                <w:sz w:val="18"/>
                <w:szCs w:val="18"/>
              </w:rPr>
              <w:t>0.1</w:t>
            </w:r>
          </w:p>
        </w:tc>
        <w:tc>
          <w:tcPr>
            <w:tcW w:w="1230" w:type="dxa"/>
            <w:tcBorders>
              <w:top w:val="single" w:sz="6" w:space="0" w:color="D9D9D9" w:themeColor="background1" w:themeShade="D9"/>
              <w:left w:val="single" w:sz="6" w:space="0" w:color="BFBFBF" w:themeColor="background1" w:themeShade="BF"/>
              <w:bottom w:val="single" w:sz="6" w:space="0" w:color="D9D9D9" w:themeColor="background1" w:themeShade="D9"/>
              <w:right w:val="single" w:sz="6" w:space="0" w:color="D9D9D9" w:themeColor="background1" w:themeShade="D9"/>
            </w:tcBorders>
            <w:shd w:val="clear" w:color="auto" w:fill="A4BAE2"/>
            <w:tcMar>
              <w:left w:w="105" w:type="dxa"/>
              <w:right w:w="105" w:type="dxa"/>
            </w:tcMar>
            <w:vAlign w:val="center"/>
          </w:tcPr>
          <w:p w14:paraId="18FD1894" w14:textId="6F295398" w:rsidR="77BE0170" w:rsidRDefault="77BE0170" w:rsidP="77BE0170">
            <w:pPr>
              <w:spacing w:after="0" w:line="240" w:lineRule="auto"/>
              <w:jc w:val="center"/>
              <w:rPr>
                <w:rFonts w:ascii="Calibri" w:eastAsia="Calibri" w:hAnsi="Calibri" w:cs="Calibri"/>
                <w:color w:val="000000" w:themeColor="text1"/>
                <w:sz w:val="18"/>
                <w:szCs w:val="18"/>
              </w:rPr>
            </w:pPr>
            <w:r w:rsidRPr="77BE0170">
              <w:rPr>
                <w:rFonts w:ascii="Calibri" w:eastAsia="Calibri" w:hAnsi="Calibri" w:cs="Calibri"/>
                <w:color w:val="000000" w:themeColor="text1"/>
                <w:sz w:val="18"/>
                <w:szCs w:val="18"/>
              </w:rPr>
              <w:t>-0.16</w:t>
            </w:r>
          </w:p>
        </w:tc>
        <w:tc>
          <w:tcPr>
            <w:tcW w:w="1305"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Mar>
              <w:left w:w="105" w:type="dxa"/>
              <w:right w:w="105" w:type="dxa"/>
            </w:tcMar>
            <w:vAlign w:val="center"/>
          </w:tcPr>
          <w:p w14:paraId="6D0E7C4E" w14:textId="334666B5" w:rsidR="77BE0170" w:rsidRDefault="77BE0170" w:rsidP="77BE0170">
            <w:pPr>
              <w:spacing w:after="0" w:line="240" w:lineRule="auto"/>
              <w:jc w:val="center"/>
              <w:rPr>
                <w:rFonts w:ascii="Calibri" w:eastAsia="Calibri" w:hAnsi="Calibri" w:cs="Calibri"/>
                <w:color w:val="000000" w:themeColor="text1"/>
                <w:sz w:val="18"/>
                <w:szCs w:val="18"/>
              </w:rPr>
            </w:pPr>
            <w:r w:rsidRPr="77BE0170">
              <w:rPr>
                <w:rFonts w:ascii="Calibri" w:eastAsia="Calibri" w:hAnsi="Calibri" w:cs="Calibri"/>
                <w:color w:val="000000" w:themeColor="text1"/>
                <w:sz w:val="18"/>
                <w:szCs w:val="18"/>
              </w:rPr>
              <w:t>28%</w:t>
            </w:r>
          </w:p>
        </w:tc>
        <w:tc>
          <w:tcPr>
            <w:tcW w:w="1305"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BFBFBF" w:themeColor="background1" w:themeShade="BF"/>
            </w:tcBorders>
            <w:tcMar>
              <w:left w:w="105" w:type="dxa"/>
              <w:right w:w="105" w:type="dxa"/>
            </w:tcMar>
            <w:vAlign w:val="center"/>
          </w:tcPr>
          <w:p w14:paraId="507D6CF4" w14:textId="510C4A4F" w:rsidR="77BE0170" w:rsidRDefault="77BE0170" w:rsidP="77BE0170">
            <w:pPr>
              <w:spacing w:after="0" w:line="240" w:lineRule="auto"/>
              <w:jc w:val="center"/>
              <w:rPr>
                <w:rFonts w:ascii="Calibri" w:eastAsia="Calibri" w:hAnsi="Calibri" w:cs="Calibri"/>
                <w:color w:val="000000" w:themeColor="text1"/>
                <w:sz w:val="18"/>
                <w:szCs w:val="18"/>
              </w:rPr>
            </w:pPr>
            <w:r w:rsidRPr="77BE0170">
              <w:rPr>
                <w:rFonts w:ascii="Calibri" w:eastAsia="Calibri" w:hAnsi="Calibri" w:cs="Calibri"/>
                <w:color w:val="000000" w:themeColor="text1"/>
                <w:sz w:val="18"/>
                <w:szCs w:val="18"/>
              </w:rPr>
              <w:t>0.16</w:t>
            </w:r>
          </w:p>
        </w:tc>
      </w:tr>
      <w:tr w:rsidR="77BE0170" w14:paraId="100F62E2" w14:textId="77777777" w:rsidTr="77BE0170">
        <w:trPr>
          <w:trHeight w:val="330"/>
        </w:trPr>
        <w:tc>
          <w:tcPr>
            <w:tcW w:w="1695"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BFBFBF" w:themeColor="background1" w:themeShade="BF"/>
            </w:tcBorders>
            <w:tcMar>
              <w:left w:w="105" w:type="dxa"/>
              <w:right w:w="105" w:type="dxa"/>
            </w:tcMar>
            <w:vAlign w:val="center"/>
          </w:tcPr>
          <w:p w14:paraId="0992F49E" w14:textId="12BE090D" w:rsidR="77BE0170" w:rsidRDefault="77BE0170" w:rsidP="77BE0170">
            <w:pPr>
              <w:spacing w:after="0" w:line="240" w:lineRule="auto"/>
              <w:jc w:val="center"/>
              <w:rPr>
                <w:rFonts w:ascii="Calibri" w:eastAsia="Calibri" w:hAnsi="Calibri" w:cs="Calibri"/>
                <w:color w:val="000000" w:themeColor="text1"/>
                <w:sz w:val="18"/>
                <w:szCs w:val="18"/>
              </w:rPr>
            </w:pPr>
            <w:r w:rsidRPr="77BE0170">
              <w:rPr>
                <w:rFonts w:ascii="Calibri" w:eastAsia="Calibri" w:hAnsi="Calibri" w:cs="Calibri"/>
                <w:b/>
                <w:bCs/>
                <w:color w:val="000000" w:themeColor="text1"/>
                <w:sz w:val="18"/>
                <w:szCs w:val="18"/>
              </w:rPr>
              <w:t xml:space="preserve"> Shannon Estuary</w:t>
            </w:r>
          </w:p>
        </w:tc>
        <w:tc>
          <w:tcPr>
            <w:tcW w:w="990" w:type="dxa"/>
            <w:tcBorders>
              <w:top w:val="single" w:sz="6" w:space="0" w:color="D9D9D9" w:themeColor="background1" w:themeShade="D9"/>
              <w:left w:val="single" w:sz="6" w:space="0" w:color="BFBFBF" w:themeColor="background1" w:themeShade="BF"/>
              <w:bottom w:val="single" w:sz="6" w:space="0" w:color="D9D9D9" w:themeColor="background1" w:themeShade="D9"/>
              <w:right w:val="single" w:sz="6" w:space="0" w:color="D9D9D9" w:themeColor="background1" w:themeShade="D9"/>
            </w:tcBorders>
            <w:shd w:val="clear" w:color="auto" w:fill="FFE3E3"/>
            <w:tcMar>
              <w:left w:w="105" w:type="dxa"/>
              <w:right w:w="105" w:type="dxa"/>
            </w:tcMar>
            <w:vAlign w:val="center"/>
          </w:tcPr>
          <w:p w14:paraId="251F9F99" w14:textId="7EA9C000" w:rsidR="77BE0170" w:rsidRDefault="77BE0170" w:rsidP="77BE0170">
            <w:pPr>
              <w:spacing w:after="0" w:line="240" w:lineRule="auto"/>
              <w:jc w:val="center"/>
              <w:rPr>
                <w:rFonts w:ascii="Calibri" w:eastAsia="Calibri" w:hAnsi="Calibri" w:cs="Calibri"/>
                <w:color w:val="000000" w:themeColor="text1"/>
                <w:sz w:val="18"/>
                <w:szCs w:val="18"/>
              </w:rPr>
            </w:pPr>
            <w:r w:rsidRPr="77BE0170">
              <w:rPr>
                <w:rFonts w:ascii="Calibri" w:eastAsia="Calibri" w:hAnsi="Calibri" w:cs="Calibri"/>
                <w:color w:val="000000" w:themeColor="text1"/>
                <w:sz w:val="18"/>
                <w:szCs w:val="18"/>
              </w:rPr>
              <w:t>0.11</w:t>
            </w:r>
          </w:p>
        </w:tc>
        <w:tc>
          <w:tcPr>
            <w:tcW w:w="1125"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Mar>
              <w:left w:w="105" w:type="dxa"/>
              <w:right w:w="105" w:type="dxa"/>
            </w:tcMar>
            <w:vAlign w:val="center"/>
          </w:tcPr>
          <w:p w14:paraId="2AB386CF" w14:textId="66FDDE36" w:rsidR="77BE0170" w:rsidRDefault="77BE0170" w:rsidP="77BE0170">
            <w:pPr>
              <w:spacing w:after="0" w:line="240" w:lineRule="auto"/>
              <w:jc w:val="center"/>
              <w:rPr>
                <w:rFonts w:ascii="Calibri" w:eastAsia="Calibri" w:hAnsi="Calibri" w:cs="Calibri"/>
                <w:color w:val="000000" w:themeColor="text1"/>
                <w:sz w:val="18"/>
                <w:szCs w:val="18"/>
              </w:rPr>
            </w:pPr>
            <w:r w:rsidRPr="77BE0170">
              <w:rPr>
                <w:rFonts w:ascii="Calibri" w:eastAsia="Calibri" w:hAnsi="Calibri" w:cs="Calibri"/>
                <w:color w:val="000000" w:themeColor="text1"/>
                <w:sz w:val="18"/>
                <w:szCs w:val="18"/>
              </w:rPr>
              <w:t>18%</w:t>
            </w:r>
          </w:p>
        </w:tc>
        <w:tc>
          <w:tcPr>
            <w:tcW w:w="1320"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BFBFBF" w:themeColor="background1" w:themeShade="BF"/>
            </w:tcBorders>
            <w:tcMar>
              <w:left w:w="105" w:type="dxa"/>
              <w:right w:w="105" w:type="dxa"/>
            </w:tcMar>
            <w:vAlign w:val="center"/>
          </w:tcPr>
          <w:p w14:paraId="5B87FF63" w14:textId="1664A603" w:rsidR="77BE0170" w:rsidRDefault="77BE0170" w:rsidP="77BE0170">
            <w:pPr>
              <w:spacing w:after="0" w:line="240" w:lineRule="auto"/>
              <w:jc w:val="center"/>
              <w:rPr>
                <w:rFonts w:ascii="Calibri" w:eastAsia="Calibri" w:hAnsi="Calibri" w:cs="Calibri"/>
                <w:color w:val="000000" w:themeColor="text1"/>
                <w:sz w:val="18"/>
                <w:szCs w:val="18"/>
              </w:rPr>
            </w:pPr>
            <w:r w:rsidRPr="77BE0170">
              <w:rPr>
                <w:rFonts w:ascii="Calibri" w:eastAsia="Calibri" w:hAnsi="Calibri" w:cs="Calibri"/>
                <w:color w:val="000000" w:themeColor="text1"/>
                <w:sz w:val="18"/>
                <w:szCs w:val="18"/>
              </w:rPr>
              <w:t>0.13</w:t>
            </w:r>
          </w:p>
        </w:tc>
        <w:tc>
          <w:tcPr>
            <w:tcW w:w="1230" w:type="dxa"/>
            <w:tcBorders>
              <w:top w:val="single" w:sz="6" w:space="0" w:color="D9D9D9" w:themeColor="background1" w:themeShade="D9"/>
              <w:left w:val="single" w:sz="6" w:space="0" w:color="BFBFBF" w:themeColor="background1" w:themeShade="BF"/>
              <w:bottom w:val="single" w:sz="6" w:space="0" w:color="D9D9D9" w:themeColor="background1" w:themeShade="D9"/>
              <w:right w:val="single" w:sz="6" w:space="0" w:color="D9D9D9" w:themeColor="background1" w:themeShade="D9"/>
            </w:tcBorders>
            <w:shd w:val="clear" w:color="auto" w:fill="FFEBEB"/>
            <w:tcMar>
              <w:left w:w="105" w:type="dxa"/>
              <w:right w:w="105" w:type="dxa"/>
            </w:tcMar>
            <w:vAlign w:val="center"/>
          </w:tcPr>
          <w:p w14:paraId="3E4FDA7E" w14:textId="1678E586" w:rsidR="77BE0170" w:rsidRDefault="77BE0170" w:rsidP="77BE0170">
            <w:pPr>
              <w:spacing w:after="0" w:line="240" w:lineRule="auto"/>
              <w:jc w:val="center"/>
              <w:rPr>
                <w:rFonts w:ascii="Calibri" w:eastAsia="Calibri" w:hAnsi="Calibri" w:cs="Calibri"/>
                <w:color w:val="000000" w:themeColor="text1"/>
                <w:sz w:val="18"/>
                <w:szCs w:val="18"/>
              </w:rPr>
            </w:pPr>
            <w:r w:rsidRPr="77BE0170">
              <w:rPr>
                <w:rFonts w:ascii="Calibri" w:eastAsia="Calibri" w:hAnsi="Calibri" w:cs="Calibri"/>
                <w:color w:val="000000" w:themeColor="text1"/>
                <w:sz w:val="18"/>
                <w:szCs w:val="18"/>
              </w:rPr>
              <w:t>0.08</w:t>
            </w:r>
          </w:p>
        </w:tc>
        <w:tc>
          <w:tcPr>
            <w:tcW w:w="1305"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Mar>
              <w:left w:w="105" w:type="dxa"/>
              <w:right w:w="105" w:type="dxa"/>
            </w:tcMar>
            <w:vAlign w:val="center"/>
          </w:tcPr>
          <w:p w14:paraId="6965CBF3" w14:textId="5B9CD1C1" w:rsidR="77BE0170" w:rsidRDefault="77BE0170" w:rsidP="77BE0170">
            <w:pPr>
              <w:spacing w:after="0" w:line="240" w:lineRule="auto"/>
              <w:jc w:val="center"/>
              <w:rPr>
                <w:rFonts w:ascii="Calibri" w:eastAsia="Calibri" w:hAnsi="Calibri" w:cs="Calibri"/>
                <w:color w:val="000000" w:themeColor="text1"/>
                <w:sz w:val="18"/>
                <w:szCs w:val="18"/>
              </w:rPr>
            </w:pPr>
            <w:r w:rsidRPr="77BE0170">
              <w:rPr>
                <w:rFonts w:ascii="Calibri" w:eastAsia="Calibri" w:hAnsi="Calibri" w:cs="Calibri"/>
                <w:color w:val="000000" w:themeColor="text1"/>
                <w:sz w:val="18"/>
                <w:szCs w:val="18"/>
              </w:rPr>
              <w:t>10%</w:t>
            </w:r>
          </w:p>
        </w:tc>
        <w:tc>
          <w:tcPr>
            <w:tcW w:w="1305"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BFBFBF" w:themeColor="background1" w:themeShade="BF"/>
            </w:tcBorders>
            <w:tcMar>
              <w:left w:w="105" w:type="dxa"/>
              <w:right w:w="105" w:type="dxa"/>
            </w:tcMar>
            <w:vAlign w:val="center"/>
          </w:tcPr>
          <w:p w14:paraId="51A2CC94" w14:textId="72108847" w:rsidR="77BE0170" w:rsidRDefault="77BE0170" w:rsidP="77BE0170">
            <w:pPr>
              <w:spacing w:after="0" w:line="240" w:lineRule="auto"/>
              <w:jc w:val="center"/>
              <w:rPr>
                <w:rFonts w:ascii="Calibri" w:eastAsia="Calibri" w:hAnsi="Calibri" w:cs="Calibri"/>
                <w:color w:val="000000" w:themeColor="text1"/>
                <w:sz w:val="18"/>
                <w:szCs w:val="18"/>
              </w:rPr>
            </w:pPr>
            <w:r w:rsidRPr="77BE0170">
              <w:rPr>
                <w:rFonts w:ascii="Calibri" w:eastAsia="Calibri" w:hAnsi="Calibri" w:cs="Calibri"/>
                <w:color w:val="000000" w:themeColor="text1"/>
                <w:sz w:val="18"/>
                <w:szCs w:val="18"/>
              </w:rPr>
              <w:t>0.11</w:t>
            </w:r>
          </w:p>
        </w:tc>
      </w:tr>
      <w:tr w:rsidR="77BE0170" w14:paraId="59D230CE" w14:textId="77777777" w:rsidTr="77BE0170">
        <w:trPr>
          <w:trHeight w:val="330"/>
        </w:trPr>
        <w:tc>
          <w:tcPr>
            <w:tcW w:w="1695"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BFBFBF" w:themeColor="background1" w:themeShade="BF"/>
            </w:tcBorders>
            <w:tcMar>
              <w:left w:w="105" w:type="dxa"/>
              <w:right w:w="105" w:type="dxa"/>
            </w:tcMar>
            <w:vAlign w:val="center"/>
          </w:tcPr>
          <w:p w14:paraId="5514AF68" w14:textId="2D967E4D" w:rsidR="77BE0170" w:rsidRDefault="77BE0170" w:rsidP="77BE0170">
            <w:pPr>
              <w:spacing w:after="0" w:line="240" w:lineRule="auto"/>
              <w:jc w:val="center"/>
              <w:rPr>
                <w:rFonts w:ascii="Calibri" w:eastAsia="Calibri" w:hAnsi="Calibri" w:cs="Calibri"/>
                <w:color w:val="000000" w:themeColor="text1"/>
                <w:sz w:val="18"/>
                <w:szCs w:val="18"/>
              </w:rPr>
            </w:pPr>
            <w:r w:rsidRPr="77BE0170">
              <w:rPr>
                <w:rFonts w:ascii="Calibri" w:eastAsia="Calibri" w:hAnsi="Calibri" w:cs="Calibri"/>
                <w:b/>
                <w:bCs/>
                <w:color w:val="000000" w:themeColor="text1"/>
                <w:sz w:val="18"/>
                <w:szCs w:val="18"/>
              </w:rPr>
              <w:t>CH1</w:t>
            </w:r>
          </w:p>
        </w:tc>
        <w:tc>
          <w:tcPr>
            <w:tcW w:w="990" w:type="dxa"/>
            <w:tcBorders>
              <w:top w:val="single" w:sz="6" w:space="0" w:color="D9D9D9" w:themeColor="background1" w:themeShade="D9"/>
              <w:left w:val="single" w:sz="6" w:space="0" w:color="BFBFBF" w:themeColor="background1" w:themeShade="BF"/>
              <w:bottom w:val="single" w:sz="6" w:space="0" w:color="D9D9D9" w:themeColor="background1" w:themeShade="D9"/>
              <w:right w:val="single" w:sz="6" w:space="0" w:color="D9D9D9" w:themeColor="background1" w:themeShade="D9"/>
            </w:tcBorders>
            <w:tcMar>
              <w:left w:w="105" w:type="dxa"/>
              <w:right w:w="105" w:type="dxa"/>
            </w:tcMar>
            <w:vAlign w:val="center"/>
          </w:tcPr>
          <w:p w14:paraId="080623A6" w14:textId="1FEC5E69" w:rsidR="77BE0170" w:rsidRDefault="77BE0170" w:rsidP="77BE0170">
            <w:pPr>
              <w:spacing w:after="0" w:line="240" w:lineRule="auto"/>
              <w:jc w:val="center"/>
              <w:rPr>
                <w:rFonts w:ascii="Calibri" w:eastAsia="Calibri" w:hAnsi="Calibri" w:cs="Calibri"/>
                <w:color w:val="000000" w:themeColor="text1"/>
                <w:sz w:val="18"/>
                <w:szCs w:val="18"/>
              </w:rPr>
            </w:pPr>
            <w:r w:rsidRPr="77BE0170">
              <w:rPr>
                <w:rFonts w:ascii="Calibri" w:eastAsia="Calibri" w:hAnsi="Calibri" w:cs="Calibri"/>
                <w:color w:val="000000" w:themeColor="text1"/>
                <w:sz w:val="18"/>
                <w:szCs w:val="18"/>
              </w:rPr>
              <w:t>0</w:t>
            </w:r>
          </w:p>
        </w:tc>
        <w:tc>
          <w:tcPr>
            <w:tcW w:w="1125"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Mar>
              <w:left w:w="105" w:type="dxa"/>
              <w:right w:w="105" w:type="dxa"/>
            </w:tcMar>
            <w:vAlign w:val="center"/>
          </w:tcPr>
          <w:p w14:paraId="68CD5A16" w14:textId="7ED6CFAA" w:rsidR="77BE0170" w:rsidRDefault="77BE0170" w:rsidP="77BE0170">
            <w:pPr>
              <w:spacing w:after="0" w:line="240" w:lineRule="auto"/>
              <w:jc w:val="center"/>
              <w:rPr>
                <w:rFonts w:ascii="Calibri" w:eastAsia="Calibri" w:hAnsi="Calibri" w:cs="Calibri"/>
                <w:color w:val="000000" w:themeColor="text1"/>
                <w:sz w:val="18"/>
                <w:szCs w:val="18"/>
              </w:rPr>
            </w:pPr>
            <w:r w:rsidRPr="77BE0170">
              <w:rPr>
                <w:rFonts w:ascii="Calibri" w:eastAsia="Calibri" w:hAnsi="Calibri" w:cs="Calibri"/>
                <w:color w:val="000000" w:themeColor="text1"/>
                <w:sz w:val="18"/>
                <w:szCs w:val="18"/>
              </w:rPr>
              <w:t>7%</w:t>
            </w:r>
          </w:p>
        </w:tc>
        <w:tc>
          <w:tcPr>
            <w:tcW w:w="1320"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BFBFBF" w:themeColor="background1" w:themeShade="BF"/>
            </w:tcBorders>
            <w:tcMar>
              <w:left w:w="105" w:type="dxa"/>
              <w:right w:w="105" w:type="dxa"/>
            </w:tcMar>
            <w:vAlign w:val="center"/>
          </w:tcPr>
          <w:p w14:paraId="06CBED34" w14:textId="61F6A6E1" w:rsidR="77BE0170" w:rsidRDefault="77BE0170" w:rsidP="77BE0170">
            <w:pPr>
              <w:spacing w:after="0" w:line="240" w:lineRule="auto"/>
              <w:jc w:val="center"/>
              <w:rPr>
                <w:rFonts w:ascii="Calibri" w:eastAsia="Calibri" w:hAnsi="Calibri" w:cs="Calibri"/>
                <w:color w:val="000000" w:themeColor="text1"/>
                <w:sz w:val="18"/>
                <w:szCs w:val="18"/>
              </w:rPr>
            </w:pPr>
            <w:r w:rsidRPr="77BE0170">
              <w:rPr>
                <w:rFonts w:ascii="Calibri" w:eastAsia="Calibri" w:hAnsi="Calibri" w:cs="Calibri"/>
                <w:color w:val="000000" w:themeColor="text1"/>
                <w:sz w:val="18"/>
                <w:szCs w:val="18"/>
              </w:rPr>
              <w:t>0.08</w:t>
            </w:r>
          </w:p>
        </w:tc>
        <w:tc>
          <w:tcPr>
            <w:tcW w:w="1230" w:type="dxa"/>
            <w:tcBorders>
              <w:top w:val="single" w:sz="6" w:space="0" w:color="D9D9D9" w:themeColor="background1" w:themeShade="D9"/>
              <w:left w:val="single" w:sz="6" w:space="0" w:color="BFBFBF" w:themeColor="background1" w:themeShade="BF"/>
              <w:bottom w:val="single" w:sz="6" w:space="0" w:color="D9D9D9" w:themeColor="background1" w:themeShade="D9"/>
              <w:right w:val="single" w:sz="6" w:space="0" w:color="D9D9D9" w:themeColor="background1" w:themeShade="D9"/>
            </w:tcBorders>
            <w:shd w:val="clear" w:color="auto" w:fill="EEF2F9"/>
            <w:tcMar>
              <w:left w:w="105" w:type="dxa"/>
              <w:right w:w="105" w:type="dxa"/>
            </w:tcMar>
            <w:vAlign w:val="center"/>
          </w:tcPr>
          <w:p w14:paraId="6CF0EE68" w14:textId="29F521FE" w:rsidR="77BE0170" w:rsidRDefault="77BE0170" w:rsidP="77BE0170">
            <w:pPr>
              <w:spacing w:after="0" w:line="240" w:lineRule="auto"/>
              <w:jc w:val="center"/>
              <w:rPr>
                <w:rFonts w:ascii="Calibri" w:eastAsia="Calibri" w:hAnsi="Calibri" w:cs="Calibri"/>
                <w:color w:val="000000" w:themeColor="text1"/>
                <w:sz w:val="18"/>
                <w:szCs w:val="18"/>
              </w:rPr>
            </w:pPr>
            <w:r w:rsidRPr="77BE0170">
              <w:rPr>
                <w:rFonts w:ascii="Calibri" w:eastAsia="Calibri" w:hAnsi="Calibri" w:cs="Calibri"/>
                <w:color w:val="000000" w:themeColor="text1"/>
                <w:sz w:val="18"/>
                <w:szCs w:val="18"/>
              </w:rPr>
              <w:t>-0.03</w:t>
            </w:r>
          </w:p>
        </w:tc>
        <w:tc>
          <w:tcPr>
            <w:tcW w:w="1305"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Mar>
              <w:left w:w="105" w:type="dxa"/>
              <w:right w:w="105" w:type="dxa"/>
            </w:tcMar>
            <w:vAlign w:val="center"/>
          </w:tcPr>
          <w:p w14:paraId="111CAB49" w14:textId="38C32D36" w:rsidR="77BE0170" w:rsidRDefault="77BE0170" w:rsidP="77BE0170">
            <w:pPr>
              <w:spacing w:after="0" w:line="240" w:lineRule="auto"/>
              <w:jc w:val="center"/>
              <w:rPr>
                <w:rFonts w:ascii="Calibri" w:eastAsia="Calibri" w:hAnsi="Calibri" w:cs="Calibri"/>
                <w:color w:val="000000" w:themeColor="text1"/>
                <w:sz w:val="18"/>
                <w:szCs w:val="18"/>
              </w:rPr>
            </w:pPr>
            <w:r w:rsidRPr="77BE0170">
              <w:rPr>
                <w:rFonts w:ascii="Calibri" w:eastAsia="Calibri" w:hAnsi="Calibri" w:cs="Calibri"/>
                <w:color w:val="000000" w:themeColor="text1"/>
                <w:sz w:val="18"/>
                <w:szCs w:val="18"/>
              </w:rPr>
              <w:t>5%</w:t>
            </w:r>
          </w:p>
        </w:tc>
        <w:tc>
          <w:tcPr>
            <w:tcW w:w="1305"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BFBFBF" w:themeColor="background1" w:themeShade="BF"/>
            </w:tcBorders>
            <w:tcMar>
              <w:left w:w="105" w:type="dxa"/>
              <w:right w:w="105" w:type="dxa"/>
            </w:tcMar>
            <w:vAlign w:val="center"/>
          </w:tcPr>
          <w:p w14:paraId="28AA3F69" w14:textId="7DF9426A" w:rsidR="77BE0170" w:rsidRDefault="77BE0170" w:rsidP="77BE0170">
            <w:pPr>
              <w:spacing w:after="0" w:line="240" w:lineRule="auto"/>
              <w:jc w:val="center"/>
              <w:rPr>
                <w:rFonts w:ascii="Calibri" w:eastAsia="Calibri" w:hAnsi="Calibri" w:cs="Calibri"/>
                <w:color w:val="000000" w:themeColor="text1"/>
                <w:sz w:val="18"/>
                <w:szCs w:val="18"/>
              </w:rPr>
            </w:pPr>
            <w:r w:rsidRPr="77BE0170">
              <w:rPr>
                <w:rFonts w:ascii="Calibri" w:eastAsia="Calibri" w:hAnsi="Calibri" w:cs="Calibri"/>
                <w:color w:val="000000" w:themeColor="text1"/>
                <w:sz w:val="18"/>
                <w:szCs w:val="18"/>
              </w:rPr>
              <w:t>0.09</w:t>
            </w:r>
          </w:p>
        </w:tc>
      </w:tr>
      <w:tr w:rsidR="77BE0170" w14:paraId="51016A32" w14:textId="77777777" w:rsidTr="77BE0170">
        <w:trPr>
          <w:trHeight w:val="330"/>
        </w:trPr>
        <w:tc>
          <w:tcPr>
            <w:tcW w:w="1695" w:type="dxa"/>
            <w:tcBorders>
              <w:top w:val="single" w:sz="6" w:space="0" w:color="D9D9D9" w:themeColor="background1" w:themeShade="D9"/>
              <w:left w:val="single" w:sz="6" w:space="0" w:color="D9D9D9" w:themeColor="background1" w:themeShade="D9"/>
              <w:bottom w:val="single" w:sz="6" w:space="0" w:color="BFBFBF" w:themeColor="background1" w:themeShade="BF"/>
              <w:right w:val="single" w:sz="6" w:space="0" w:color="BFBFBF" w:themeColor="background1" w:themeShade="BF"/>
            </w:tcBorders>
            <w:tcMar>
              <w:left w:w="105" w:type="dxa"/>
              <w:right w:w="105" w:type="dxa"/>
            </w:tcMar>
            <w:vAlign w:val="center"/>
          </w:tcPr>
          <w:p w14:paraId="74099F92" w14:textId="2D0E7685" w:rsidR="77BE0170" w:rsidRDefault="77BE0170" w:rsidP="77BE0170">
            <w:pPr>
              <w:spacing w:after="0" w:line="240" w:lineRule="auto"/>
              <w:jc w:val="center"/>
              <w:rPr>
                <w:rFonts w:ascii="Calibri" w:eastAsia="Calibri" w:hAnsi="Calibri" w:cs="Calibri"/>
                <w:color w:val="000000" w:themeColor="text1"/>
                <w:sz w:val="18"/>
                <w:szCs w:val="18"/>
              </w:rPr>
            </w:pPr>
            <w:r w:rsidRPr="77BE0170">
              <w:rPr>
                <w:rFonts w:ascii="Calibri" w:eastAsia="Calibri" w:hAnsi="Calibri" w:cs="Calibri"/>
                <w:b/>
                <w:bCs/>
                <w:color w:val="000000" w:themeColor="text1"/>
                <w:sz w:val="18"/>
                <w:szCs w:val="18"/>
              </w:rPr>
              <w:t>SE2</w:t>
            </w:r>
          </w:p>
        </w:tc>
        <w:tc>
          <w:tcPr>
            <w:tcW w:w="990" w:type="dxa"/>
            <w:tcBorders>
              <w:top w:val="single" w:sz="6" w:space="0" w:color="D9D9D9" w:themeColor="background1" w:themeShade="D9"/>
              <w:left w:val="single" w:sz="6" w:space="0" w:color="BFBFBF" w:themeColor="background1" w:themeShade="BF"/>
              <w:bottom w:val="single" w:sz="6" w:space="0" w:color="BFBFBF" w:themeColor="background1" w:themeShade="BF"/>
              <w:right w:val="single" w:sz="6" w:space="0" w:color="D9D9D9" w:themeColor="background1" w:themeShade="D9"/>
            </w:tcBorders>
            <w:shd w:val="clear" w:color="auto" w:fill="FFF5F5"/>
            <w:tcMar>
              <w:left w:w="105" w:type="dxa"/>
              <w:right w:w="105" w:type="dxa"/>
            </w:tcMar>
            <w:vAlign w:val="center"/>
          </w:tcPr>
          <w:p w14:paraId="71BCBBA5" w14:textId="62CC1037" w:rsidR="77BE0170" w:rsidRDefault="77BE0170" w:rsidP="77BE0170">
            <w:pPr>
              <w:spacing w:after="0" w:line="240" w:lineRule="auto"/>
              <w:jc w:val="center"/>
              <w:rPr>
                <w:rFonts w:ascii="Calibri" w:eastAsia="Calibri" w:hAnsi="Calibri" w:cs="Calibri"/>
                <w:color w:val="000000" w:themeColor="text1"/>
                <w:sz w:val="18"/>
                <w:szCs w:val="18"/>
              </w:rPr>
            </w:pPr>
            <w:r w:rsidRPr="77BE0170">
              <w:rPr>
                <w:rFonts w:ascii="Calibri" w:eastAsia="Calibri" w:hAnsi="Calibri" w:cs="Calibri"/>
                <w:color w:val="000000" w:themeColor="text1"/>
                <w:sz w:val="18"/>
                <w:szCs w:val="18"/>
              </w:rPr>
              <w:t>0.04</w:t>
            </w:r>
          </w:p>
        </w:tc>
        <w:tc>
          <w:tcPr>
            <w:tcW w:w="1125" w:type="dxa"/>
            <w:tcBorders>
              <w:top w:val="single" w:sz="6" w:space="0" w:color="D9D9D9" w:themeColor="background1" w:themeShade="D9"/>
              <w:left w:val="single" w:sz="6" w:space="0" w:color="D9D9D9" w:themeColor="background1" w:themeShade="D9"/>
              <w:bottom w:val="single" w:sz="6" w:space="0" w:color="BFBFBF" w:themeColor="background1" w:themeShade="BF"/>
              <w:right w:val="single" w:sz="6" w:space="0" w:color="D9D9D9" w:themeColor="background1" w:themeShade="D9"/>
            </w:tcBorders>
            <w:tcMar>
              <w:left w:w="105" w:type="dxa"/>
              <w:right w:w="105" w:type="dxa"/>
            </w:tcMar>
            <w:vAlign w:val="center"/>
          </w:tcPr>
          <w:p w14:paraId="7456BE88" w14:textId="239DAA6D" w:rsidR="77BE0170" w:rsidRDefault="77BE0170" w:rsidP="77BE0170">
            <w:pPr>
              <w:spacing w:after="0" w:line="240" w:lineRule="auto"/>
              <w:jc w:val="center"/>
              <w:rPr>
                <w:rFonts w:ascii="Calibri" w:eastAsia="Calibri" w:hAnsi="Calibri" w:cs="Calibri"/>
                <w:color w:val="000000" w:themeColor="text1"/>
                <w:sz w:val="18"/>
                <w:szCs w:val="18"/>
              </w:rPr>
            </w:pPr>
            <w:r w:rsidRPr="77BE0170">
              <w:rPr>
                <w:rFonts w:ascii="Calibri" w:eastAsia="Calibri" w:hAnsi="Calibri" w:cs="Calibri"/>
                <w:color w:val="000000" w:themeColor="text1"/>
                <w:sz w:val="18"/>
                <w:szCs w:val="18"/>
              </w:rPr>
              <w:t>9%</w:t>
            </w:r>
          </w:p>
        </w:tc>
        <w:tc>
          <w:tcPr>
            <w:tcW w:w="1320" w:type="dxa"/>
            <w:tcBorders>
              <w:top w:val="single" w:sz="6" w:space="0" w:color="D9D9D9" w:themeColor="background1" w:themeShade="D9"/>
              <w:left w:val="single" w:sz="6" w:space="0" w:color="D9D9D9" w:themeColor="background1" w:themeShade="D9"/>
              <w:bottom w:val="single" w:sz="6" w:space="0" w:color="BFBFBF" w:themeColor="background1" w:themeShade="BF"/>
              <w:right w:val="single" w:sz="6" w:space="0" w:color="BFBFBF" w:themeColor="background1" w:themeShade="BF"/>
            </w:tcBorders>
            <w:tcMar>
              <w:left w:w="105" w:type="dxa"/>
              <w:right w:w="105" w:type="dxa"/>
            </w:tcMar>
            <w:vAlign w:val="center"/>
          </w:tcPr>
          <w:p w14:paraId="5C0B0FAB" w14:textId="1DFA65DB" w:rsidR="77BE0170" w:rsidRDefault="77BE0170" w:rsidP="77BE0170">
            <w:pPr>
              <w:spacing w:after="0" w:line="240" w:lineRule="auto"/>
              <w:jc w:val="center"/>
              <w:rPr>
                <w:rFonts w:ascii="Calibri" w:eastAsia="Calibri" w:hAnsi="Calibri" w:cs="Calibri"/>
                <w:color w:val="000000" w:themeColor="text1"/>
                <w:sz w:val="18"/>
                <w:szCs w:val="18"/>
              </w:rPr>
            </w:pPr>
            <w:r w:rsidRPr="77BE0170">
              <w:rPr>
                <w:rFonts w:ascii="Calibri" w:eastAsia="Calibri" w:hAnsi="Calibri" w:cs="Calibri"/>
                <w:color w:val="000000" w:themeColor="text1"/>
                <w:sz w:val="18"/>
                <w:szCs w:val="18"/>
              </w:rPr>
              <w:t>0.1</w:t>
            </w:r>
          </w:p>
        </w:tc>
        <w:tc>
          <w:tcPr>
            <w:tcW w:w="1230" w:type="dxa"/>
            <w:tcBorders>
              <w:top w:val="single" w:sz="6" w:space="0" w:color="D9D9D9" w:themeColor="background1" w:themeShade="D9"/>
              <w:left w:val="single" w:sz="6" w:space="0" w:color="BFBFBF" w:themeColor="background1" w:themeShade="BF"/>
              <w:bottom w:val="single" w:sz="6" w:space="0" w:color="BFBFBF" w:themeColor="background1" w:themeShade="BF"/>
              <w:right w:val="single" w:sz="6" w:space="0" w:color="D9D9D9" w:themeColor="background1" w:themeShade="D9"/>
            </w:tcBorders>
            <w:tcMar>
              <w:left w:w="105" w:type="dxa"/>
              <w:right w:w="105" w:type="dxa"/>
            </w:tcMar>
            <w:vAlign w:val="center"/>
          </w:tcPr>
          <w:p w14:paraId="2B07012E" w14:textId="22D699FE" w:rsidR="77BE0170" w:rsidRDefault="77BE0170" w:rsidP="77BE0170">
            <w:pPr>
              <w:spacing w:after="0" w:line="240" w:lineRule="auto"/>
              <w:jc w:val="center"/>
              <w:rPr>
                <w:rFonts w:ascii="Calibri" w:eastAsia="Calibri" w:hAnsi="Calibri" w:cs="Calibri"/>
                <w:color w:val="000000" w:themeColor="text1"/>
                <w:sz w:val="18"/>
                <w:szCs w:val="18"/>
              </w:rPr>
            </w:pPr>
            <w:r w:rsidRPr="77BE0170">
              <w:rPr>
                <w:rFonts w:ascii="Calibri" w:eastAsia="Calibri" w:hAnsi="Calibri" w:cs="Calibri"/>
                <w:color w:val="000000" w:themeColor="text1"/>
                <w:sz w:val="18"/>
                <w:szCs w:val="18"/>
              </w:rPr>
              <w:t>0</w:t>
            </w:r>
          </w:p>
        </w:tc>
        <w:tc>
          <w:tcPr>
            <w:tcW w:w="1305" w:type="dxa"/>
            <w:tcBorders>
              <w:top w:val="single" w:sz="6" w:space="0" w:color="D9D9D9" w:themeColor="background1" w:themeShade="D9"/>
              <w:left w:val="single" w:sz="6" w:space="0" w:color="D9D9D9" w:themeColor="background1" w:themeShade="D9"/>
              <w:bottom w:val="single" w:sz="6" w:space="0" w:color="BFBFBF" w:themeColor="background1" w:themeShade="BF"/>
              <w:right w:val="single" w:sz="6" w:space="0" w:color="D9D9D9" w:themeColor="background1" w:themeShade="D9"/>
            </w:tcBorders>
            <w:tcMar>
              <w:left w:w="105" w:type="dxa"/>
              <w:right w:w="105" w:type="dxa"/>
            </w:tcMar>
            <w:vAlign w:val="center"/>
          </w:tcPr>
          <w:p w14:paraId="7F6C0736" w14:textId="3DA24A74" w:rsidR="77BE0170" w:rsidRDefault="77BE0170" w:rsidP="77BE0170">
            <w:pPr>
              <w:spacing w:after="0" w:line="240" w:lineRule="auto"/>
              <w:jc w:val="center"/>
              <w:rPr>
                <w:rFonts w:ascii="Calibri" w:eastAsia="Calibri" w:hAnsi="Calibri" w:cs="Calibri"/>
                <w:color w:val="000000" w:themeColor="text1"/>
                <w:sz w:val="18"/>
                <w:szCs w:val="18"/>
              </w:rPr>
            </w:pPr>
            <w:r w:rsidRPr="77BE0170">
              <w:rPr>
                <w:rFonts w:ascii="Calibri" w:eastAsia="Calibri" w:hAnsi="Calibri" w:cs="Calibri"/>
                <w:color w:val="000000" w:themeColor="text1"/>
                <w:sz w:val="18"/>
                <w:szCs w:val="18"/>
              </w:rPr>
              <w:t>5%</w:t>
            </w:r>
          </w:p>
        </w:tc>
        <w:tc>
          <w:tcPr>
            <w:tcW w:w="1305" w:type="dxa"/>
            <w:tcBorders>
              <w:top w:val="single" w:sz="6" w:space="0" w:color="D9D9D9" w:themeColor="background1" w:themeShade="D9"/>
              <w:left w:val="single" w:sz="6" w:space="0" w:color="D9D9D9" w:themeColor="background1" w:themeShade="D9"/>
              <w:bottom w:val="single" w:sz="6" w:space="0" w:color="BFBFBF" w:themeColor="background1" w:themeShade="BF"/>
              <w:right w:val="single" w:sz="6" w:space="0" w:color="BFBFBF" w:themeColor="background1" w:themeShade="BF"/>
            </w:tcBorders>
            <w:tcMar>
              <w:left w:w="105" w:type="dxa"/>
              <w:right w:w="105" w:type="dxa"/>
            </w:tcMar>
            <w:vAlign w:val="center"/>
          </w:tcPr>
          <w:p w14:paraId="01DBA9B3" w14:textId="3E5E3721" w:rsidR="77BE0170" w:rsidRDefault="77BE0170" w:rsidP="77BE0170">
            <w:pPr>
              <w:spacing w:after="0" w:line="240" w:lineRule="auto"/>
              <w:jc w:val="center"/>
              <w:rPr>
                <w:rFonts w:ascii="Calibri" w:eastAsia="Calibri" w:hAnsi="Calibri" w:cs="Calibri"/>
                <w:color w:val="000000" w:themeColor="text1"/>
                <w:sz w:val="18"/>
                <w:szCs w:val="18"/>
              </w:rPr>
            </w:pPr>
            <w:r w:rsidRPr="77BE0170">
              <w:rPr>
                <w:rFonts w:ascii="Calibri" w:eastAsia="Calibri" w:hAnsi="Calibri" w:cs="Calibri"/>
                <w:color w:val="000000" w:themeColor="text1"/>
                <w:sz w:val="18"/>
                <w:szCs w:val="18"/>
              </w:rPr>
              <w:t>0.09</w:t>
            </w:r>
          </w:p>
        </w:tc>
      </w:tr>
    </w:tbl>
    <w:tbl>
      <w:tblPr>
        <w:tblStyle w:val="TableGrid"/>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830"/>
        <w:gridCol w:w="2970"/>
        <w:gridCol w:w="4200"/>
      </w:tblGrid>
      <w:tr w:rsidR="77BE0170" w14:paraId="33ED2CA8" w14:textId="77777777" w:rsidTr="77BE0170">
        <w:trPr>
          <w:trHeight w:val="555"/>
        </w:trPr>
        <w:tc>
          <w:tcPr>
            <w:tcW w:w="1830" w:type="dxa"/>
            <w:tcBorders>
              <w:top w:val="nil"/>
              <w:left w:val="nil"/>
              <w:bottom w:val="nil"/>
              <w:right w:val="nil"/>
            </w:tcBorders>
            <w:tcMar>
              <w:left w:w="105" w:type="dxa"/>
              <w:right w:w="105" w:type="dxa"/>
            </w:tcMar>
          </w:tcPr>
          <w:p w14:paraId="56EB77F2" w14:textId="539B9255" w:rsidR="77BE0170" w:rsidRDefault="77BE0170" w:rsidP="77BE0170">
            <w:pPr>
              <w:spacing w:line="259" w:lineRule="auto"/>
              <w:jc w:val="center"/>
              <w:rPr>
                <w:rFonts w:ascii="Calibri" w:eastAsia="Calibri" w:hAnsi="Calibri" w:cs="Calibri"/>
              </w:rPr>
            </w:pPr>
          </w:p>
        </w:tc>
        <w:tc>
          <w:tcPr>
            <w:tcW w:w="2970" w:type="dxa"/>
            <w:tcBorders>
              <w:top w:val="nil"/>
              <w:left w:val="nil"/>
              <w:bottom w:val="nil"/>
              <w:right w:val="nil"/>
            </w:tcBorders>
            <w:tcMar>
              <w:left w:w="105" w:type="dxa"/>
              <w:right w:w="105" w:type="dxa"/>
            </w:tcMar>
            <w:vAlign w:val="center"/>
          </w:tcPr>
          <w:p w14:paraId="009C290C" w14:textId="29E42BED" w:rsidR="77BE0170" w:rsidRDefault="77BE0170" w:rsidP="77BE0170">
            <w:pPr>
              <w:spacing w:line="259" w:lineRule="auto"/>
              <w:jc w:val="center"/>
              <w:rPr>
                <w:rFonts w:ascii="Calibri" w:eastAsia="Calibri" w:hAnsi="Calibri" w:cs="Calibri"/>
              </w:rPr>
            </w:pPr>
            <w:r>
              <w:rPr>
                <w:noProof/>
                <w:lang w:eastAsia="en-IE"/>
              </w:rPr>
              <w:drawing>
                <wp:inline distT="0" distB="0" distL="0" distR="0" wp14:anchorId="6A1C5450" wp14:editId="0483A2B4">
                  <wp:extent cx="466725" cy="238125"/>
                  <wp:effectExtent l="0" t="0" r="0" b="0"/>
                  <wp:docPr id="1689426740" name="Picture 1689426740" descr="Text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466725" cy="238125"/>
                          </a:xfrm>
                          <a:prstGeom prst="rect">
                            <a:avLst/>
                          </a:prstGeom>
                        </pic:spPr>
                      </pic:pic>
                    </a:graphicData>
                  </a:graphic>
                </wp:inline>
              </w:drawing>
            </w:r>
            <w:r>
              <w:rPr>
                <w:noProof/>
                <w:lang w:eastAsia="en-IE"/>
              </w:rPr>
              <w:drawing>
                <wp:inline distT="0" distB="0" distL="0" distR="0" wp14:anchorId="59175705" wp14:editId="29FC24DD">
                  <wp:extent cx="561975" cy="238125"/>
                  <wp:effectExtent l="0" t="0" r="0" b="0"/>
                  <wp:docPr id="1122403287" name="Picture 1122403287" descr="Text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561975" cy="238125"/>
                          </a:xfrm>
                          <a:prstGeom prst="rect">
                            <a:avLst/>
                          </a:prstGeom>
                        </pic:spPr>
                      </pic:pic>
                    </a:graphicData>
                  </a:graphic>
                </wp:inline>
              </w:drawing>
            </w:r>
            <w:r>
              <w:rPr>
                <w:noProof/>
                <w:lang w:eastAsia="en-IE"/>
              </w:rPr>
              <w:drawing>
                <wp:inline distT="0" distB="0" distL="0" distR="0" wp14:anchorId="49BBA3BB" wp14:editId="5E4F60E9">
                  <wp:extent cx="1619250" cy="209550"/>
                  <wp:effectExtent l="0" t="0" r="0" b="0"/>
                  <wp:docPr id="1101696910" name="Picture 1101696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1619250" cy="209550"/>
                          </a:xfrm>
                          <a:prstGeom prst="rect">
                            <a:avLst/>
                          </a:prstGeom>
                        </pic:spPr>
                      </pic:pic>
                    </a:graphicData>
                  </a:graphic>
                </wp:inline>
              </w:drawing>
            </w:r>
          </w:p>
        </w:tc>
        <w:tc>
          <w:tcPr>
            <w:tcW w:w="4200" w:type="dxa"/>
            <w:tcBorders>
              <w:top w:val="nil"/>
              <w:left w:val="nil"/>
              <w:bottom w:val="nil"/>
              <w:right w:val="nil"/>
            </w:tcBorders>
            <w:tcMar>
              <w:left w:w="105" w:type="dxa"/>
              <w:right w:w="105" w:type="dxa"/>
            </w:tcMar>
            <w:vAlign w:val="center"/>
          </w:tcPr>
          <w:p w14:paraId="36D44513" w14:textId="311D1089" w:rsidR="77BE0170" w:rsidRDefault="77BE0170" w:rsidP="77BE0170">
            <w:pPr>
              <w:spacing w:line="259" w:lineRule="auto"/>
              <w:rPr>
                <w:rFonts w:ascii="Calibri" w:eastAsia="Calibri" w:hAnsi="Calibri" w:cs="Calibri"/>
              </w:rPr>
            </w:pPr>
            <w:r w:rsidRPr="77BE0170">
              <w:rPr>
                <w:rFonts w:ascii="Calibri" w:eastAsia="Calibri" w:hAnsi="Calibri" w:cs="Calibri"/>
                <w:b/>
                <w:bCs/>
              </w:rPr>
              <w:t>Mean Difference</w:t>
            </w:r>
          </w:p>
        </w:tc>
      </w:tr>
    </w:tbl>
    <w:p w14:paraId="188731F9" w14:textId="48D2AFD5" w:rsidR="7A0A5246" w:rsidRDefault="7A0A5246" w:rsidP="77BE0170">
      <w:pPr>
        <w:rPr>
          <w:rFonts w:ascii="Calibri" w:eastAsia="Calibri" w:hAnsi="Calibri" w:cs="Calibri"/>
          <w:color w:val="000000" w:themeColor="text1"/>
        </w:rPr>
      </w:pPr>
      <w:r>
        <w:rPr>
          <w:noProof/>
          <w:lang w:eastAsia="en-IE"/>
        </w:rPr>
        <w:drawing>
          <wp:inline distT="0" distB="0" distL="0" distR="0" wp14:anchorId="256BA2D1" wp14:editId="1D959BDB">
            <wp:extent cx="4572000" cy="219075"/>
            <wp:effectExtent l="0" t="0" r="0" b="0"/>
            <wp:docPr id="572590428" name="Picture 572590428" descr="Text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4572000" cy="219075"/>
                    </a:xfrm>
                    <a:prstGeom prst="rect">
                      <a:avLst/>
                    </a:prstGeom>
                  </pic:spPr>
                </pic:pic>
              </a:graphicData>
            </a:graphic>
          </wp:inline>
        </w:drawing>
      </w:r>
    </w:p>
    <w:p w14:paraId="34330CF6" w14:textId="3908C924" w:rsidR="7A0A5246" w:rsidRDefault="7A0A5246" w:rsidP="77BE0170">
      <w:pPr>
        <w:spacing w:beforeAutospacing="1" w:after="120" w:line="240" w:lineRule="auto"/>
        <w:jc w:val="both"/>
        <w:rPr>
          <w:rFonts w:ascii="Calibri Light" w:eastAsia="Calibri Light" w:hAnsi="Calibri Light" w:cs="Calibri Light"/>
          <w:color w:val="000000" w:themeColor="text1"/>
          <w:sz w:val="24"/>
          <w:szCs w:val="24"/>
        </w:rPr>
      </w:pPr>
      <w:r w:rsidRPr="77BE0170">
        <w:rPr>
          <w:rFonts w:ascii="Calibri Light" w:eastAsia="Calibri Light" w:hAnsi="Calibri Light" w:cs="Calibri Light"/>
          <w:color w:val="000000" w:themeColor="text1"/>
          <w:sz w:val="24"/>
          <w:szCs w:val="24"/>
          <w:lang w:val="en-US"/>
        </w:rPr>
        <w:t xml:space="preserve">The mean difference presented in Table 2 gives an indication of any bias in the forecast towards under-prediction with a negative mean difference, or over-prediction with a positive mean difference, with a </w:t>
      </w:r>
      <w:proofErr w:type="spellStart"/>
      <w:r w:rsidRPr="77BE0170">
        <w:rPr>
          <w:rFonts w:ascii="Calibri Light" w:eastAsia="Calibri Light" w:hAnsi="Calibri Light" w:cs="Calibri Light"/>
          <w:color w:val="000000" w:themeColor="text1"/>
          <w:sz w:val="24"/>
          <w:szCs w:val="24"/>
          <w:lang w:val="en-US"/>
        </w:rPr>
        <w:t>colour</w:t>
      </w:r>
      <w:proofErr w:type="spellEnd"/>
      <w:r w:rsidRPr="77BE0170">
        <w:rPr>
          <w:rFonts w:ascii="Calibri Light" w:eastAsia="Calibri Light" w:hAnsi="Calibri Light" w:cs="Calibri Light"/>
          <w:color w:val="000000" w:themeColor="text1"/>
          <w:sz w:val="24"/>
          <w:szCs w:val="24"/>
          <w:lang w:val="en-US"/>
        </w:rPr>
        <w:t xml:space="preserve"> scale applied to indicate any bias. For the full dataset only the DB3 location gives a strong indication of underprediction, with a negative mean difference of -0.19m. GB8 and Shannon Estuary locations provide a moderate to strong indication for overprediction with a positive mean difference of 0.11m, with a moderate indication of over-prediction for SE2 also. For CH1 there is little indication of bias in the forecast, with mean difference of zero, while the remaining five locations have a moderate indication for under-prediction with negative mean difference ranging from -0.02m to -0.06m. For the top 100 the mean difference trends towards negative at most locations, with a strong indication for</w:t>
      </w:r>
    </w:p>
    <w:p w14:paraId="68959035" w14:textId="5FF5785F" w:rsidR="7A0A5246" w:rsidRDefault="7A0A5246" w:rsidP="77BE0170">
      <w:pPr>
        <w:spacing w:beforeAutospacing="1" w:after="120" w:line="240" w:lineRule="auto"/>
        <w:jc w:val="both"/>
        <w:rPr>
          <w:rFonts w:ascii="Calibri Light" w:eastAsia="Calibri Light" w:hAnsi="Calibri Light" w:cs="Calibri Light"/>
          <w:color w:val="000000" w:themeColor="text1"/>
          <w:sz w:val="24"/>
          <w:szCs w:val="24"/>
        </w:rPr>
      </w:pPr>
      <w:r w:rsidRPr="77BE0170">
        <w:rPr>
          <w:rFonts w:ascii="Calibri Light" w:eastAsia="Calibri Light" w:hAnsi="Calibri Light" w:cs="Calibri Light"/>
          <w:color w:val="000000" w:themeColor="text1"/>
          <w:sz w:val="24"/>
          <w:szCs w:val="24"/>
          <w:lang w:val="en-US"/>
        </w:rPr>
        <w:t xml:space="preserve"> under-prediction at DB3, WH5, Arklow and SE6 with negative means ranging from -0.16m to -0.2m. GB8 location remains unchanged for the top 100 with a positive mean difference of 0.11m while the Shannon Estuary mean difference reduces from 0.11mm to 0.08mm. The SE2 location mean difference reduces from 0.04m to 0m, with CH1 reducing also from 0m to -0.03m giving an indication for under-prediction in the higher range of TWLs.  </w:t>
      </w:r>
    </w:p>
    <w:p w14:paraId="3C55E5BF" w14:textId="65BDC52D" w:rsidR="7A0A5246" w:rsidRDefault="7A0A5246" w:rsidP="77BE0170">
      <w:pPr>
        <w:spacing w:beforeAutospacing="1" w:after="120" w:line="240" w:lineRule="auto"/>
        <w:jc w:val="both"/>
        <w:rPr>
          <w:rFonts w:ascii="Calibri Light" w:eastAsia="Calibri Light" w:hAnsi="Calibri Light" w:cs="Calibri Light"/>
          <w:color w:val="000000" w:themeColor="text1"/>
          <w:sz w:val="24"/>
          <w:szCs w:val="24"/>
        </w:rPr>
      </w:pPr>
      <w:r w:rsidRPr="77BE0170">
        <w:rPr>
          <w:rFonts w:ascii="Calibri Light" w:eastAsia="Calibri Light" w:hAnsi="Calibri Light" w:cs="Calibri Light"/>
          <w:color w:val="000000" w:themeColor="text1"/>
          <w:sz w:val="24"/>
          <w:szCs w:val="24"/>
          <w:lang w:val="en-US"/>
        </w:rPr>
        <w:t xml:space="preserve">The ten TSSF forecast locations are presented spatially in Figure 1 and are located on eastern, southern and western coasts. A </w:t>
      </w:r>
      <w:proofErr w:type="spellStart"/>
      <w:r w:rsidRPr="77BE0170">
        <w:rPr>
          <w:rFonts w:ascii="Calibri Light" w:eastAsia="Calibri Light" w:hAnsi="Calibri Light" w:cs="Calibri Light"/>
          <w:color w:val="000000" w:themeColor="text1"/>
          <w:sz w:val="24"/>
          <w:szCs w:val="24"/>
          <w:lang w:val="en-US"/>
        </w:rPr>
        <w:t>colour</w:t>
      </w:r>
      <w:proofErr w:type="spellEnd"/>
      <w:r w:rsidRPr="77BE0170">
        <w:rPr>
          <w:rFonts w:ascii="Calibri Light" w:eastAsia="Calibri Light" w:hAnsi="Calibri Light" w:cs="Calibri Light"/>
          <w:color w:val="000000" w:themeColor="text1"/>
          <w:sz w:val="24"/>
          <w:szCs w:val="24"/>
          <w:lang w:val="en-US"/>
        </w:rPr>
        <w:t xml:space="preserve"> scale is used for each location to represent the forecast bias for the top 100 maximum daily observed TWLs.</w:t>
      </w:r>
    </w:p>
    <w:p w14:paraId="57E46C20" w14:textId="5C962B13" w:rsidR="7A0A5246" w:rsidRDefault="7A0A5246" w:rsidP="77BE0170">
      <w:pPr>
        <w:spacing w:beforeAutospacing="1" w:after="120" w:line="240" w:lineRule="auto"/>
        <w:jc w:val="both"/>
        <w:rPr>
          <w:rFonts w:ascii="Calibri Light" w:eastAsia="Calibri Light" w:hAnsi="Calibri Light" w:cs="Calibri Light"/>
          <w:color w:val="000000" w:themeColor="text1"/>
          <w:sz w:val="24"/>
          <w:szCs w:val="24"/>
        </w:rPr>
      </w:pPr>
      <w:r w:rsidRPr="77BE0170">
        <w:rPr>
          <w:rFonts w:ascii="Calibri Light" w:eastAsia="Calibri Light" w:hAnsi="Calibri Light" w:cs="Calibri Light"/>
          <w:color w:val="000000" w:themeColor="text1"/>
          <w:sz w:val="24"/>
          <w:szCs w:val="24"/>
          <w:lang w:val="en-US"/>
        </w:rPr>
        <w:t xml:space="preserve">It is notable that the two locations indicating over-prediction in the higher range of TWLs are both on the west coast of Ireland, and the locations with the strongest indication for under-prediction are on the east coast of Ireland, with the exception of SE6. This may suggest that there is a spatial variation in the performance of the model, however there are too few forecast locations with tide gauges in close proximity available in this sample to draw any conclusions. </w:t>
      </w:r>
    </w:p>
    <w:p w14:paraId="28D1437E" w14:textId="59125A7D" w:rsidR="7A0A5246" w:rsidRDefault="7A0A5246" w:rsidP="77BE0170">
      <w:pPr>
        <w:rPr>
          <w:rFonts w:ascii="Calibri" w:eastAsia="Calibri" w:hAnsi="Calibri" w:cs="Calibri"/>
          <w:color w:val="000000" w:themeColor="text1"/>
        </w:rPr>
      </w:pPr>
      <w:r>
        <w:rPr>
          <w:noProof/>
          <w:lang w:eastAsia="en-IE"/>
        </w:rPr>
        <w:lastRenderedPageBreak/>
        <w:drawing>
          <wp:inline distT="0" distB="0" distL="0" distR="0" wp14:anchorId="6B539F3A" wp14:editId="42BBD530">
            <wp:extent cx="5686425" cy="8058150"/>
            <wp:effectExtent l="0" t="0" r="0" b="0"/>
            <wp:docPr id="1791021798" name="Picture 1791021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5686425" cy="8058150"/>
                    </a:xfrm>
                    <a:prstGeom prst="rect">
                      <a:avLst/>
                    </a:prstGeom>
                  </pic:spPr>
                </pic:pic>
              </a:graphicData>
            </a:graphic>
          </wp:inline>
        </w:drawing>
      </w:r>
    </w:p>
    <w:p w14:paraId="698FF378" w14:textId="1498AC5A" w:rsidR="7A0A5246" w:rsidRDefault="7A0A5246" w:rsidP="77BE0170">
      <w:pPr>
        <w:rPr>
          <w:rFonts w:ascii="Calibri" w:eastAsia="Calibri" w:hAnsi="Calibri" w:cs="Calibri"/>
          <w:color w:val="000000" w:themeColor="text1"/>
        </w:rPr>
      </w:pPr>
      <w:r>
        <w:rPr>
          <w:noProof/>
          <w:lang w:eastAsia="en-IE"/>
        </w:rPr>
        <w:drawing>
          <wp:inline distT="0" distB="0" distL="0" distR="0" wp14:anchorId="402EC61C" wp14:editId="50E087D3">
            <wp:extent cx="4572000" cy="400050"/>
            <wp:effectExtent l="0" t="0" r="0" b="0"/>
            <wp:docPr id="1137474374" name="Picture 1137474374" descr="Text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4572000" cy="400050"/>
                    </a:xfrm>
                    <a:prstGeom prst="rect">
                      <a:avLst/>
                    </a:prstGeom>
                  </pic:spPr>
                </pic:pic>
              </a:graphicData>
            </a:graphic>
          </wp:inline>
        </w:drawing>
      </w:r>
    </w:p>
    <w:p w14:paraId="310FD082" w14:textId="53221BCC" w:rsidR="7A0A5246" w:rsidRDefault="7A0A5246" w:rsidP="77BE0170">
      <w:pPr>
        <w:rPr>
          <w:rFonts w:ascii="Calibri Light" w:eastAsia="Calibri Light" w:hAnsi="Calibri Light" w:cs="Calibri Light"/>
          <w:color w:val="000000" w:themeColor="text1"/>
          <w:sz w:val="24"/>
          <w:szCs w:val="24"/>
        </w:rPr>
      </w:pPr>
      <w:r w:rsidRPr="77BE0170">
        <w:rPr>
          <w:rFonts w:ascii="Calibri Light" w:eastAsia="Calibri Light" w:hAnsi="Calibri Light" w:cs="Calibri Light"/>
          <w:color w:val="000000" w:themeColor="text1"/>
          <w:sz w:val="24"/>
          <w:szCs w:val="24"/>
          <w:lang w:val="en-US"/>
        </w:rPr>
        <w:lastRenderedPageBreak/>
        <w:t xml:space="preserve">Timeseries charts of the forecast and observed TWLs were assessed at each location if HAT levels were exceeded or approached during any of the nine named storms which occurred over the evaluation period, and Table 2 provides summaries of the difference in daily maximum observed and forecast TWLs, and differences in the timing of the peak TWLs. </w:t>
      </w:r>
    </w:p>
    <w:p w14:paraId="74D8AF60" w14:textId="30390E73" w:rsidR="7A0A5246" w:rsidRDefault="7A0A5246" w:rsidP="77BE0170">
      <w:pPr>
        <w:spacing w:beforeAutospacing="1" w:after="120" w:line="240" w:lineRule="auto"/>
        <w:jc w:val="both"/>
        <w:rPr>
          <w:rFonts w:ascii="Calibri Light" w:eastAsia="Calibri Light" w:hAnsi="Calibri Light" w:cs="Calibri Light"/>
          <w:color w:val="000000" w:themeColor="text1"/>
          <w:sz w:val="24"/>
          <w:szCs w:val="24"/>
        </w:rPr>
      </w:pPr>
      <w:r w:rsidRPr="77BE0170">
        <w:rPr>
          <w:rFonts w:ascii="Calibri Light" w:eastAsia="Calibri Light" w:hAnsi="Calibri Light" w:cs="Calibri Light"/>
          <w:color w:val="000000" w:themeColor="text1"/>
          <w:sz w:val="24"/>
          <w:szCs w:val="24"/>
          <w:lang w:val="en-US"/>
        </w:rPr>
        <w:t xml:space="preserve">Storm Barra and Storm Eunice were the most impactful storm events, with HAT levels approached or exceeded at ten and eight of the tide gauges respectively during these events. Across all storm events and locations, there were 25 instances of HAT levels being approached or exceeded, with absolute differences between maximum forecast and observed TWLs ranging from 0.01m to 0.38m, with a mean absolute difference of 0.15m. Absolute differences between forecast and observed maximum TWLs exceeded 0.2m for 9 of the 25 instances (36%), with two instances exceeding 0.3m, at WH5 during Storm Barra (0.34m) and SE6 during Storm Dudley (0.38m).  It should be noted that for all 25 instances, the forecast maximum TWL was under-predicted compared to the observed maximum TWL. </w:t>
      </w:r>
    </w:p>
    <w:p w14:paraId="7881375E" w14:textId="0B067604" w:rsidR="7A0A5246" w:rsidRDefault="7A0A5246" w:rsidP="77BE0170">
      <w:pPr>
        <w:spacing w:beforeAutospacing="1" w:after="120" w:line="240" w:lineRule="auto"/>
        <w:jc w:val="both"/>
        <w:rPr>
          <w:rFonts w:ascii="Calibri Light" w:eastAsia="Calibri Light" w:hAnsi="Calibri Light" w:cs="Calibri Light"/>
          <w:color w:val="000000" w:themeColor="text1"/>
          <w:sz w:val="24"/>
          <w:szCs w:val="24"/>
        </w:rPr>
      </w:pPr>
      <w:r w:rsidRPr="77BE0170">
        <w:rPr>
          <w:rFonts w:ascii="Calibri Light" w:eastAsia="Calibri Light" w:hAnsi="Calibri Light" w:cs="Calibri Light"/>
          <w:color w:val="000000" w:themeColor="text1"/>
          <w:sz w:val="24"/>
          <w:szCs w:val="24"/>
          <w:lang w:val="en-US"/>
        </w:rPr>
        <w:t xml:space="preserve">The difference in timing between the maximum forecast and observed TWLs is also </w:t>
      </w:r>
      <w:proofErr w:type="spellStart"/>
      <w:r w:rsidRPr="77BE0170">
        <w:rPr>
          <w:rFonts w:ascii="Calibri Light" w:eastAsia="Calibri Light" w:hAnsi="Calibri Light" w:cs="Calibri Light"/>
          <w:color w:val="000000" w:themeColor="text1"/>
          <w:sz w:val="24"/>
          <w:szCs w:val="24"/>
          <w:lang w:val="en-US"/>
        </w:rPr>
        <w:t>summarised</w:t>
      </w:r>
      <w:proofErr w:type="spellEnd"/>
      <w:r w:rsidRPr="77BE0170">
        <w:rPr>
          <w:rFonts w:ascii="Calibri Light" w:eastAsia="Calibri Light" w:hAnsi="Calibri Light" w:cs="Calibri Light"/>
          <w:color w:val="000000" w:themeColor="text1"/>
          <w:sz w:val="24"/>
          <w:szCs w:val="24"/>
          <w:lang w:val="en-US"/>
        </w:rPr>
        <w:t xml:space="preserve"> in Table 2. The TSSF forecast performed well generally with regards to timing, with the forecast maximum TWL falling within 30 minutes of the observed TWL for 20 of the 25 instances (80%). For three instances there was a difference of an hour or more between the times of forecast and observed maximum TWLs, with the maximum time of 1 hour and 15 minutes for DB3 during Storm Barra. Where the timing of the forecast maximum TWLs did not coincide with the observed maximum TWLs, typically the forecast time was earlier than the observed time, with the exception of Arklow. </w:t>
      </w:r>
    </w:p>
    <w:p w14:paraId="784CA46B" w14:textId="0C3DE501" w:rsidR="7A0A5246" w:rsidRDefault="7A0A5246" w:rsidP="77BE0170">
      <w:pPr>
        <w:spacing w:beforeAutospacing="1" w:after="120" w:line="240" w:lineRule="auto"/>
        <w:jc w:val="both"/>
        <w:rPr>
          <w:rFonts w:ascii="Calibri Light" w:eastAsia="Calibri Light" w:hAnsi="Calibri Light" w:cs="Calibri Light"/>
          <w:color w:val="000000" w:themeColor="text1"/>
          <w:sz w:val="24"/>
          <w:szCs w:val="24"/>
        </w:rPr>
      </w:pPr>
      <w:r w:rsidRPr="77BE0170">
        <w:rPr>
          <w:rFonts w:ascii="Calibri Light" w:eastAsia="Calibri Light" w:hAnsi="Calibri Light" w:cs="Calibri Light"/>
          <w:color w:val="000000" w:themeColor="text1"/>
          <w:sz w:val="24"/>
          <w:szCs w:val="24"/>
          <w:lang w:val="en-US"/>
        </w:rPr>
        <w:t xml:space="preserve">Overall, there is large variability in the TSSF forecast performance between different locations, with large mean absolute differences, particularly in the higher range of TWLs at DB3, GB8, WH5, Arklow, SE6 which indicates a poor forecast accuracy during times of heightened flood risk. TSSF forecast performed relatively well at other locations, particularly at CH1, SE2, CH5 and WH9. There is an indication for underprediction at many locations, particularly in the higher range of TWLs, and this is borne out also by the storm event assessment in which none of the forecast maximum TWLs were higher than the observed TWLs. </w:t>
      </w:r>
    </w:p>
    <w:p w14:paraId="50AA01E4" w14:textId="3E3039E8" w:rsidR="7A0A5246" w:rsidRDefault="7A0A5246" w:rsidP="77BE0170">
      <w:pPr>
        <w:spacing w:beforeAutospacing="1" w:after="120" w:line="240" w:lineRule="auto"/>
        <w:jc w:val="both"/>
        <w:rPr>
          <w:rFonts w:ascii="Calibri Light" w:eastAsia="Calibri Light" w:hAnsi="Calibri Light" w:cs="Calibri Light"/>
          <w:color w:val="000000" w:themeColor="text1"/>
          <w:sz w:val="24"/>
          <w:szCs w:val="24"/>
        </w:rPr>
      </w:pPr>
      <w:r w:rsidRPr="77BE0170">
        <w:rPr>
          <w:rFonts w:ascii="Calibri Light" w:eastAsia="Calibri Light" w:hAnsi="Calibri Light" w:cs="Calibri Light"/>
          <w:color w:val="000000" w:themeColor="text1"/>
          <w:sz w:val="24"/>
          <w:szCs w:val="24"/>
          <w:lang w:val="en-US"/>
        </w:rPr>
        <w:t xml:space="preserve">However, it should be noted that the TSSF forecast is driven by ECMWF high-resolution numerical weather predictions, and deviations between forecast TWLs and observed TWLs will include the impact of any inaccuracies inherited from the numerical weather predictions. Wave set-up is not modelled by the TSSF and hence forecast TWLs do not account for any increases due to wave conditions, which can be significant during storm events, and may have had a significant impact on the under-prediction noted in the storm event assessment results. In addition, while the forecast locations selected were based on their proximity to tide gauges available for evaluation, we would expect some inaccuracies in the forecast due to this spatial variation, particularly in in areas with complex bathymetry. </w:t>
      </w:r>
    </w:p>
    <w:p w14:paraId="77552448" w14:textId="631C15E3" w:rsidR="77BE0170" w:rsidRDefault="77BE0170" w:rsidP="77BE0170">
      <w:pPr>
        <w:spacing w:beforeAutospacing="1" w:after="120" w:line="240" w:lineRule="auto"/>
        <w:jc w:val="both"/>
        <w:rPr>
          <w:rFonts w:ascii="Calibri Light" w:eastAsia="Calibri Light" w:hAnsi="Calibri Light" w:cs="Calibri Light"/>
          <w:color w:val="000000" w:themeColor="text1"/>
          <w:sz w:val="24"/>
          <w:szCs w:val="24"/>
        </w:rPr>
      </w:pPr>
    </w:p>
    <w:p w14:paraId="4780A25F" w14:textId="77777777" w:rsidR="0036386B" w:rsidRDefault="0036386B" w:rsidP="77BE0170">
      <w:pPr>
        <w:spacing w:beforeAutospacing="1" w:after="120" w:line="240" w:lineRule="auto"/>
        <w:jc w:val="both"/>
        <w:rPr>
          <w:rFonts w:ascii="Calibri Light" w:eastAsia="Calibri Light" w:hAnsi="Calibri Light" w:cs="Calibri Light"/>
          <w:color w:val="000000" w:themeColor="text1"/>
          <w:sz w:val="24"/>
          <w:szCs w:val="24"/>
        </w:rPr>
      </w:pPr>
    </w:p>
    <w:p w14:paraId="6236572C" w14:textId="0AB7C7EB" w:rsidR="77BE0170" w:rsidRDefault="77BE0170" w:rsidP="77BE0170">
      <w:pPr>
        <w:rPr>
          <w:rFonts w:ascii="Calibri" w:eastAsia="Calibri" w:hAnsi="Calibri" w:cs="Calibri"/>
          <w:color w:val="000000" w:themeColor="text1"/>
        </w:rPr>
      </w:pPr>
    </w:p>
    <w:tbl>
      <w:tblPr>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840"/>
        <w:gridCol w:w="1125"/>
        <w:gridCol w:w="555"/>
        <w:gridCol w:w="705"/>
        <w:gridCol w:w="555"/>
        <w:gridCol w:w="705"/>
        <w:gridCol w:w="705"/>
        <w:gridCol w:w="840"/>
        <w:gridCol w:w="555"/>
        <w:gridCol w:w="945"/>
        <w:gridCol w:w="690"/>
        <w:gridCol w:w="690"/>
      </w:tblGrid>
      <w:tr w:rsidR="77BE0170" w14:paraId="7B42D7BC" w14:textId="77777777" w:rsidTr="77BE0170">
        <w:trPr>
          <w:trHeight w:val="420"/>
        </w:trPr>
        <w:tc>
          <w:tcPr>
            <w:tcW w:w="840" w:type="dxa"/>
            <w:tcBorders>
              <w:top w:val="nil"/>
              <w:left w:val="nil"/>
              <w:bottom w:val="nil"/>
              <w:right w:val="nil"/>
            </w:tcBorders>
            <w:tcMar>
              <w:left w:w="105" w:type="dxa"/>
              <w:right w:w="105" w:type="dxa"/>
            </w:tcMar>
            <w:vAlign w:val="center"/>
          </w:tcPr>
          <w:p w14:paraId="1A870CCE" w14:textId="3BB79203" w:rsidR="77BE0170" w:rsidRDefault="77BE0170" w:rsidP="77BE0170">
            <w:pPr>
              <w:spacing w:after="0" w:line="240" w:lineRule="auto"/>
              <w:rPr>
                <w:rFonts w:ascii="Calibri" w:eastAsia="Calibri" w:hAnsi="Calibri" w:cs="Calibri"/>
                <w:sz w:val="18"/>
                <w:szCs w:val="18"/>
              </w:rPr>
            </w:pPr>
            <w:r w:rsidRPr="77BE0170">
              <w:rPr>
                <w:rFonts w:ascii="Calibri" w:eastAsia="Calibri" w:hAnsi="Calibri" w:cs="Calibri"/>
                <w:b/>
                <w:bCs/>
                <w:sz w:val="18"/>
                <w:szCs w:val="18"/>
                <w:lang w:val="en-GB"/>
              </w:rPr>
              <w:lastRenderedPageBreak/>
              <w:t>Storm Names</w:t>
            </w:r>
          </w:p>
        </w:tc>
        <w:tc>
          <w:tcPr>
            <w:tcW w:w="1125" w:type="dxa"/>
            <w:tcBorders>
              <w:top w:val="nil"/>
              <w:left w:val="nil"/>
              <w:bottom w:val="nil"/>
              <w:right w:val="nil"/>
            </w:tcBorders>
            <w:tcMar>
              <w:left w:w="105" w:type="dxa"/>
              <w:right w:w="105" w:type="dxa"/>
            </w:tcMar>
            <w:vAlign w:val="center"/>
          </w:tcPr>
          <w:p w14:paraId="49D3AEC4" w14:textId="45418B99" w:rsidR="77BE0170" w:rsidRDefault="77BE0170" w:rsidP="77BE0170">
            <w:pPr>
              <w:spacing w:after="0" w:line="240" w:lineRule="auto"/>
              <w:jc w:val="center"/>
              <w:rPr>
                <w:rFonts w:ascii="Calibri" w:eastAsia="Calibri" w:hAnsi="Calibri" w:cs="Calibri"/>
                <w:sz w:val="18"/>
                <w:szCs w:val="18"/>
              </w:rPr>
            </w:pPr>
            <w:r w:rsidRPr="77BE0170">
              <w:rPr>
                <w:rFonts w:ascii="Calibri" w:eastAsia="Calibri" w:hAnsi="Calibri" w:cs="Calibri"/>
                <w:b/>
                <w:bCs/>
                <w:sz w:val="18"/>
                <w:szCs w:val="18"/>
                <w:lang w:val="en-GB"/>
              </w:rPr>
              <w:t>TSSF Forecast Locations</w:t>
            </w:r>
          </w:p>
        </w:tc>
        <w:tc>
          <w:tcPr>
            <w:tcW w:w="555" w:type="dxa"/>
            <w:tcBorders>
              <w:top w:val="nil"/>
              <w:left w:val="single" w:sz="6" w:space="0" w:color="BFBFBF" w:themeColor="background1" w:themeShade="BF"/>
              <w:bottom w:val="single" w:sz="6" w:space="0" w:color="A6A6A6" w:themeColor="background1" w:themeShade="A6"/>
              <w:right w:val="single" w:sz="6" w:space="0" w:color="BFBFBF" w:themeColor="background1" w:themeShade="BF"/>
            </w:tcBorders>
            <w:tcMar>
              <w:left w:w="105" w:type="dxa"/>
              <w:right w:w="105" w:type="dxa"/>
            </w:tcMar>
            <w:vAlign w:val="bottom"/>
          </w:tcPr>
          <w:p w14:paraId="528A219E" w14:textId="588B3826" w:rsidR="77BE0170" w:rsidRDefault="77BE0170" w:rsidP="77BE0170">
            <w:pPr>
              <w:spacing w:after="0" w:line="240" w:lineRule="auto"/>
              <w:jc w:val="center"/>
              <w:rPr>
                <w:rFonts w:ascii="Calibri" w:eastAsia="Calibri" w:hAnsi="Calibri" w:cs="Calibri"/>
                <w:color w:val="000000" w:themeColor="text1"/>
                <w:sz w:val="18"/>
                <w:szCs w:val="18"/>
              </w:rPr>
            </w:pPr>
            <w:r w:rsidRPr="77BE0170">
              <w:rPr>
                <w:rFonts w:ascii="Calibri" w:eastAsia="Calibri" w:hAnsi="Calibri" w:cs="Calibri"/>
                <w:b/>
                <w:bCs/>
                <w:color w:val="000000" w:themeColor="text1"/>
                <w:sz w:val="18"/>
                <w:szCs w:val="18"/>
              </w:rPr>
              <w:t>DB3</w:t>
            </w:r>
          </w:p>
        </w:tc>
        <w:tc>
          <w:tcPr>
            <w:tcW w:w="705" w:type="dxa"/>
            <w:tcBorders>
              <w:top w:val="nil"/>
              <w:left w:val="single" w:sz="6" w:space="0" w:color="BFBFBF" w:themeColor="background1" w:themeShade="BF"/>
              <w:bottom w:val="single" w:sz="6" w:space="0" w:color="A6A6A6" w:themeColor="background1" w:themeShade="A6"/>
              <w:right w:val="single" w:sz="6" w:space="0" w:color="BFBFBF" w:themeColor="background1" w:themeShade="BF"/>
            </w:tcBorders>
            <w:tcMar>
              <w:left w:w="105" w:type="dxa"/>
              <w:right w:w="105" w:type="dxa"/>
            </w:tcMar>
            <w:vAlign w:val="bottom"/>
          </w:tcPr>
          <w:p w14:paraId="46222823" w14:textId="2BA7135C" w:rsidR="77BE0170" w:rsidRDefault="77BE0170" w:rsidP="77BE0170">
            <w:pPr>
              <w:spacing w:after="0" w:line="240" w:lineRule="auto"/>
              <w:jc w:val="center"/>
              <w:rPr>
                <w:rFonts w:ascii="Calibri" w:eastAsia="Calibri" w:hAnsi="Calibri" w:cs="Calibri"/>
                <w:color w:val="000000" w:themeColor="text1"/>
                <w:sz w:val="18"/>
                <w:szCs w:val="18"/>
              </w:rPr>
            </w:pPr>
            <w:r w:rsidRPr="77BE0170">
              <w:rPr>
                <w:rFonts w:ascii="Calibri" w:eastAsia="Calibri" w:hAnsi="Calibri" w:cs="Calibri"/>
                <w:b/>
                <w:bCs/>
                <w:color w:val="000000" w:themeColor="text1"/>
                <w:sz w:val="18"/>
                <w:szCs w:val="18"/>
              </w:rPr>
              <w:t>WH5</w:t>
            </w:r>
          </w:p>
        </w:tc>
        <w:tc>
          <w:tcPr>
            <w:tcW w:w="555" w:type="dxa"/>
            <w:tcBorders>
              <w:top w:val="nil"/>
              <w:left w:val="single" w:sz="6" w:space="0" w:color="BFBFBF" w:themeColor="background1" w:themeShade="BF"/>
              <w:bottom w:val="single" w:sz="6" w:space="0" w:color="A6A6A6" w:themeColor="background1" w:themeShade="A6"/>
              <w:right w:val="single" w:sz="6" w:space="0" w:color="BFBFBF" w:themeColor="background1" w:themeShade="BF"/>
            </w:tcBorders>
            <w:tcMar>
              <w:left w:w="105" w:type="dxa"/>
              <w:right w:w="105" w:type="dxa"/>
            </w:tcMar>
            <w:vAlign w:val="bottom"/>
          </w:tcPr>
          <w:p w14:paraId="3EEEB7EE" w14:textId="684FC421" w:rsidR="77BE0170" w:rsidRDefault="77BE0170" w:rsidP="77BE0170">
            <w:pPr>
              <w:spacing w:after="0" w:line="240" w:lineRule="auto"/>
              <w:jc w:val="center"/>
              <w:rPr>
                <w:rFonts w:ascii="Calibri" w:eastAsia="Calibri" w:hAnsi="Calibri" w:cs="Calibri"/>
                <w:color w:val="000000" w:themeColor="text1"/>
                <w:sz w:val="18"/>
                <w:szCs w:val="18"/>
              </w:rPr>
            </w:pPr>
            <w:r w:rsidRPr="77BE0170">
              <w:rPr>
                <w:rFonts w:ascii="Calibri" w:eastAsia="Calibri" w:hAnsi="Calibri" w:cs="Calibri"/>
                <w:b/>
                <w:bCs/>
                <w:color w:val="000000" w:themeColor="text1"/>
                <w:sz w:val="18"/>
                <w:szCs w:val="18"/>
              </w:rPr>
              <w:t>GB8</w:t>
            </w:r>
          </w:p>
        </w:tc>
        <w:tc>
          <w:tcPr>
            <w:tcW w:w="705" w:type="dxa"/>
            <w:tcBorders>
              <w:top w:val="nil"/>
              <w:left w:val="single" w:sz="6" w:space="0" w:color="BFBFBF" w:themeColor="background1" w:themeShade="BF"/>
              <w:bottom w:val="single" w:sz="6" w:space="0" w:color="A6A6A6" w:themeColor="background1" w:themeShade="A6"/>
              <w:right w:val="single" w:sz="6" w:space="0" w:color="BFBFBF" w:themeColor="background1" w:themeShade="BF"/>
            </w:tcBorders>
            <w:tcMar>
              <w:left w:w="105" w:type="dxa"/>
              <w:right w:w="105" w:type="dxa"/>
            </w:tcMar>
            <w:vAlign w:val="bottom"/>
          </w:tcPr>
          <w:p w14:paraId="4CDA717F" w14:textId="1C094354" w:rsidR="77BE0170" w:rsidRDefault="77BE0170" w:rsidP="77BE0170">
            <w:pPr>
              <w:spacing w:after="0" w:line="240" w:lineRule="auto"/>
              <w:jc w:val="center"/>
              <w:rPr>
                <w:rFonts w:ascii="Calibri" w:eastAsia="Calibri" w:hAnsi="Calibri" w:cs="Calibri"/>
                <w:color w:val="000000" w:themeColor="text1"/>
                <w:sz w:val="18"/>
                <w:szCs w:val="18"/>
              </w:rPr>
            </w:pPr>
            <w:r w:rsidRPr="77BE0170">
              <w:rPr>
                <w:rFonts w:ascii="Calibri" w:eastAsia="Calibri" w:hAnsi="Calibri" w:cs="Calibri"/>
                <w:b/>
                <w:bCs/>
                <w:color w:val="000000" w:themeColor="text1"/>
                <w:sz w:val="18"/>
                <w:szCs w:val="18"/>
              </w:rPr>
              <w:t>WH9</w:t>
            </w:r>
          </w:p>
        </w:tc>
        <w:tc>
          <w:tcPr>
            <w:tcW w:w="705" w:type="dxa"/>
            <w:tcBorders>
              <w:top w:val="nil"/>
              <w:left w:val="single" w:sz="6" w:space="0" w:color="BFBFBF" w:themeColor="background1" w:themeShade="BF"/>
              <w:bottom w:val="single" w:sz="6" w:space="0" w:color="A6A6A6" w:themeColor="background1" w:themeShade="A6"/>
              <w:right w:val="single" w:sz="6" w:space="0" w:color="BFBFBF" w:themeColor="background1" w:themeShade="BF"/>
            </w:tcBorders>
            <w:tcMar>
              <w:left w:w="105" w:type="dxa"/>
              <w:right w:w="105" w:type="dxa"/>
            </w:tcMar>
            <w:vAlign w:val="bottom"/>
          </w:tcPr>
          <w:p w14:paraId="5D7BA829" w14:textId="0D59332E" w:rsidR="77BE0170" w:rsidRDefault="77BE0170" w:rsidP="77BE0170">
            <w:pPr>
              <w:spacing w:after="0" w:line="240" w:lineRule="auto"/>
              <w:jc w:val="center"/>
              <w:rPr>
                <w:rFonts w:ascii="Calibri" w:eastAsia="Calibri" w:hAnsi="Calibri" w:cs="Calibri"/>
                <w:color w:val="000000" w:themeColor="text1"/>
                <w:sz w:val="18"/>
                <w:szCs w:val="18"/>
              </w:rPr>
            </w:pPr>
            <w:r w:rsidRPr="77BE0170">
              <w:rPr>
                <w:rFonts w:ascii="Calibri" w:eastAsia="Calibri" w:hAnsi="Calibri" w:cs="Calibri"/>
                <w:b/>
                <w:bCs/>
                <w:color w:val="000000" w:themeColor="text1"/>
                <w:sz w:val="18"/>
                <w:szCs w:val="18"/>
              </w:rPr>
              <w:t>CH5</w:t>
            </w:r>
          </w:p>
        </w:tc>
        <w:tc>
          <w:tcPr>
            <w:tcW w:w="840" w:type="dxa"/>
            <w:tcBorders>
              <w:top w:val="nil"/>
              <w:left w:val="single" w:sz="6" w:space="0" w:color="BFBFBF" w:themeColor="background1" w:themeShade="BF"/>
              <w:bottom w:val="single" w:sz="6" w:space="0" w:color="A6A6A6" w:themeColor="background1" w:themeShade="A6"/>
              <w:right w:val="single" w:sz="6" w:space="0" w:color="BFBFBF" w:themeColor="background1" w:themeShade="BF"/>
            </w:tcBorders>
            <w:tcMar>
              <w:left w:w="105" w:type="dxa"/>
              <w:right w:w="105" w:type="dxa"/>
            </w:tcMar>
            <w:vAlign w:val="bottom"/>
          </w:tcPr>
          <w:p w14:paraId="5FB49CDD" w14:textId="7EA88424" w:rsidR="77BE0170" w:rsidRDefault="77BE0170" w:rsidP="77BE0170">
            <w:pPr>
              <w:spacing w:after="0" w:line="240" w:lineRule="auto"/>
              <w:jc w:val="center"/>
              <w:rPr>
                <w:rFonts w:ascii="Calibri" w:eastAsia="Calibri" w:hAnsi="Calibri" w:cs="Calibri"/>
                <w:color w:val="000000" w:themeColor="text1"/>
                <w:sz w:val="18"/>
                <w:szCs w:val="18"/>
              </w:rPr>
            </w:pPr>
            <w:r w:rsidRPr="77BE0170">
              <w:rPr>
                <w:rFonts w:ascii="Calibri" w:eastAsia="Calibri" w:hAnsi="Calibri" w:cs="Calibri"/>
                <w:b/>
                <w:bCs/>
                <w:color w:val="000000" w:themeColor="text1"/>
                <w:sz w:val="18"/>
                <w:szCs w:val="18"/>
                <w:lang w:val="en-GB"/>
              </w:rPr>
              <w:t>Arklow</w:t>
            </w:r>
          </w:p>
        </w:tc>
        <w:tc>
          <w:tcPr>
            <w:tcW w:w="555" w:type="dxa"/>
            <w:tcBorders>
              <w:top w:val="nil"/>
              <w:left w:val="single" w:sz="6" w:space="0" w:color="BFBFBF" w:themeColor="background1" w:themeShade="BF"/>
              <w:bottom w:val="single" w:sz="6" w:space="0" w:color="A6A6A6" w:themeColor="background1" w:themeShade="A6"/>
              <w:right w:val="single" w:sz="6" w:space="0" w:color="BFBFBF" w:themeColor="background1" w:themeShade="BF"/>
            </w:tcBorders>
            <w:tcMar>
              <w:left w:w="105" w:type="dxa"/>
              <w:right w:w="105" w:type="dxa"/>
            </w:tcMar>
            <w:vAlign w:val="bottom"/>
          </w:tcPr>
          <w:p w14:paraId="553C9D8E" w14:textId="3CCF3CA1" w:rsidR="77BE0170" w:rsidRDefault="77BE0170" w:rsidP="77BE0170">
            <w:pPr>
              <w:spacing w:after="0" w:line="240" w:lineRule="auto"/>
              <w:jc w:val="center"/>
              <w:rPr>
                <w:rFonts w:ascii="Calibri" w:eastAsia="Calibri" w:hAnsi="Calibri" w:cs="Calibri"/>
                <w:color w:val="000000" w:themeColor="text1"/>
                <w:sz w:val="18"/>
                <w:szCs w:val="18"/>
              </w:rPr>
            </w:pPr>
            <w:r w:rsidRPr="77BE0170">
              <w:rPr>
                <w:rFonts w:ascii="Calibri" w:eastAsia="Calibri" w:hAnsi="Calibri" w:cs="Calibri"/>
                <w:b/>
                <w:bCs/>
                <w:color w:val="000000" w:themeColor="text1"/>
                <w:sz w:val="18"/>
                <w:szCs w:val="18"/>
                <w:lang w:val="en-GB"/>
              </w:rPr>
              <w:t>SE6</w:t>
            </w:r>
          </w:p>
        </w:tc>
        <w:tc>
          <w:tcPr>
            <w:tcW w:w="945" w:type="dxa"/>
            <w:tcBorders>
              <w:top w:val="nil"/>
              <w:left w:val="single" w:sz="6" w:space="0" w:color="BFBFBF" w:themeColor="background1" w:themeShade="BF"/>
              <w:bottom w:val="single" w:sz="6" w:space="0" w:color="A6A6A6" w:themeColor="background1" w:themeShade="A6"/>
              <w:right w:val="single" w:sz="6" w:space="0" w:color="BFBFBF" w:themeColor="background1" w:themeShade="BF"/>
            </w:tcBorders>
            <w:tcMar>
              <w:left w:w="105" w:type="dxa"/>
              <w:right w:w="105" w:type="dxa"/>
            </w:tcMar>
            <w:vAlign w:val="bottom"/>
          </w:tcPr>
          <w:p w14:paraId="2A174E65" w14:textId="47186DC7" w:rsidR="77BE0170" w:rsidRDefault="77BE0170" w:rsidP="77BE0170">
            <w:pPr>
              <w:spacing w:after="0" w:line="240" w:lineRule="auto"/>
              <w:jc w:val="center"/>
              <w:rPr>
                <w:rFonts w:ascii="Calibri" w:eastAsia="Calibri" w:hAnsi="Calibri" w:cs="Calibri"/>
                <w:color w:val="000000" w:themeColor="text1"/>
                <w:sz w:val="18"/>
                <w:szCs w:val="18"/>
              </w:rPr>
            </w:pPr>
            <w:r w:rsidRPr="77BE0170">
              <w:rPr>
                <w:rFonts w:ascii="Calibri" w:eastAsia="Calibri" w:hAnsi="Calibri" w:cs="Calibri"/>
                <w:b/>
                <w:bCs/>
                <w:color w:val="000000" w:themeColor="text1"/>
                <w:sz w:val="18"/>
                <w:szCs w:val="18"/>
              </w:rPr>
              <w:t>Shannon Estuary</w:t>
            </w:r>
          </w:p>
        </w:tc>
        <w:tc>
          <w:tcPr>
            <w:tcW w:w="690" w:type="dxa"/>
            <w:tcBorders>
              <w:top w:val="nil"/>
              <w:left w:val="single" w:sz="6" w:space="0" w:color="BFBFBF" w:themeColor="background1" w:themeShade="BF"/>
              <w:bottom w:val="single" w:sz="6" w:space="0" w:color="A6A6A6" w:themeColor="background1" w:themeShade="A6"/>
              <w:right w:val="single" w:sz="6" w:space="0" w:color="BFBFBF" w:themeColor="background1" w:themeShade="BF"/>
            </w:tcBorders>
            <w:tcMar>
              <w:left w:w="105" w:type="dxa"/>
              <w:right w:w="105" w:type="dxa"/>
            </w:tcMar>
            <w:vAlign w:val="bottom"/>
          </w:tcPr>
          <w:p w14:paraId="03A62A1B" w14:textId="56610B54" w:rsidR="77BE0170" w:rsidRDefault="77BE0170" w:rsidP="77BE0170">
            <w:pPr>
              <w:spacing w:after="0" w:line="240" w:lineRule="auto"/>
              <w:jc w:val="center"/>
              <w:rPr>
                <w:rFonts w:ascii="Calibri" w:eastAsia="Calibri" w:hAnsi="Calibri" w:cs="Calibri"/>
                <w:color w:val="000000" w:themeColor="text1"/>
                <w:sz w:val="18"/>
                <w:szCs w:val="18"/>
              </w:rPr>
            </w:pPr>
            <w:r w:rsidRPr="77BE0170">
              <w:rPr>
                <w:rFonts w:ascii="Calibri" w:eastAsia="Calibri" w:hAnsi="Calibri" w:cs="Calibri"/>
                <w:b/>
                <w:bCs/>
                <w:color w:val="000000" w:themeColor="text1"/>
                <w:sz w:val="18"/>
                <w:szCs w:val="18"/>
              </w:rPr>
              <w:t>CH1</w:t>
            </w:r>
          </w:p>
        </w:tc>
        <w:tc>
          <w:tcPr>
            <w:tcW w:w="690" w:type="dxa"/>
            <w:tcBorders>
              <w:top w:val="nil"/>
              <w:left w:val="single" w:sz="6" w:space="0" w:color="BFBFBF" w:themeColor="background1" w:themeShade="BF"/>
              <w:bottom w:val="single" w:sz="6" w:space="0" w:color="A6A6A6" w:themeColor="background1" w:themeShade="A6"/>
              <w:right w:val="single" w:sz="6" w:space="0" w:color="BFBFBF" w:themeColor="background1" w:themeShade="BF"/>
            </w:tcBorders>
            <w:tcMar>
              <w:left w:w="105" w:type="dxa"/>
              <w:right w:w="105" w:type="dxa"/>
            </w:tcMar>
            <w:vAlign w:val="bottom"/>
          </w:tcPr>
          <w:p w14:paraId="456CACDB" w14:textId="5F6516E9" w:rsidR="77BE0170" w:rsidRDefault="77BE0170" w:rsidP="77BE0170">
            <w:pPr>
              <w:spacing w:after="0" w:line="240" w:lineRule="auto"/>
              <w:jc w:val="center"/>
              <w:rPr>
                <w:rFonts w:ascii="Calibri" w:eastAsia="Calibri" w:hAnsi="Calibri" w:cs="Calibri"/>
                <w:color w:val="000000" w:themeColor="text1"/>
                <w:sz w:val="18"/>
                <w:szCs w:val="18"/>
              </w:rPr>
            </w:pPr>
            <w:r w:rsidRPr="77BE0170">
              <w:rPr>
                <w:rFonts w:ascii="Calibri" w:eastAsia="Calibri" w:hAnsi="Calibri" w:cs="Calibri"/>
                <w:b/>
                <w:bCs/>
                <w:color w:val="000000" w:themeColor="text1"/>
                <w:sz w:val="18"/>
                <w:szCs w:val="18"/>
              </w:rPr>
              <w:t>SE2</w:t>
            </w:r>
          </w:p>
        </w:tc>
      </w:tr>
      <w:tr w:rsidR="77BE0170" w14:paraId="3B40D68E" w14:textId="77777777" w:rsidTr="77BE0170">
        <w:trPr>
          <w:trHeight w:val="555"/>
        </w:trPr>
        <w:tc>
          <w:tcPr>
            <w:tcW w:w="840" w:type="dxa"/>
            <w:vMerge w:val="restart"/>
            <w:tcBorders>
              <w:top w:val="single" w:sz="6" w:space="0" w:color="A6A6A6" w:themeColor="background1" w:themeShade="A6"/>
              <w:left w:val="single" w:sz="6" w:space="0" w:color="BFBFBF" w:themeColor="background1" w:themeShade="BF"/>
              <w:bottom w:val="single" w:sz="6" w:space="0" w:color="A6A6A6" w:themeColor="background1" w:themeShade="A6"/>
              <w:right w:val="single" w:sz="6" w:space="0" w:color="BFBFBF" w:themeColor="background1" w:themeShade="BF"/>
            </w:tcBorders>
            <w:tcMar>
              <w:left w:w="105" w:type="dxa"/>
              <w:right w:w="105" w:type="dxa"/>
            </w:tcMar>
            <w:vAlign w:val="center"/>
          </w:tcPr>
          <w:p w14:paraId="394DB4B0" w14:textId="4862CB35" w:rsidR="77BE0170" w:rsidRDefault="77BE0170" w:rsidP="77BE0170">
            <w:pPr>
              <w:spacing w:after="0" w:line="240" w:lineRule="auto"/>
              <w:jc w:val="center"/>
              <w:rPr>
                <w:rFonts w:ascii="Calibri" w:eastAsia="Calibri" w:hAnsi="Calibri" w:cs="Calibri"/>
                <w:color w:val="000000" w:themeColor="text1"/>
                <w:sz w:val="18"/>
                <w:szCs w:val="18"/>
              </w:rPr>
            </w:pPr>
            <w:r w:rsidRPr="77BE0170">
              <w:rPr>
                <w:rFonts w:ascii="Calibri" w:eastAsia="Calibri" w:hAnsi="Calibri" w:cs="Calibri"/>
                <w:b/>
                <w:bCs/>
                <w:color w:val="000000" w:themeColor="text1"/>
                <w:sz w:val="18"/>
                <w:szCs w:val="18"/>
                <w:lang w:val="en-GB"/>
              </w:rPr>
              <w:t>Storm Barra</w:t>
            </w:r>
          </w:p>
        </w:tc>
        <w:tc>
          <w:tcPr>
            <w:tcW w:w="1125" w:type="dxa"/>
            <w:tcBorders>
              <w:top w:val="single" w:sz="6" w:space="0" w:color="A6A6A6" w:themeColor="background1" w:themeShade="A6"/>
              <w:left w:val="single" w:sz="6" w:space="0" w:color="BFBFBF" w:themeColor="background1" w:themeShade="BF"/>
              <w:bottom w:val="single" w:sz="6" w:space="0" w:color="BFBFBF" w:themeColor="background1" w:themeShade="BF"/>
              <w:right w:val="single" w:sz="6" w:space="0" w:color="BFBFBF" w:themeColor="background1" w:themeShade="BF"/>
            </w:tcBorders>
            <w:tcMar>
              <w:left w:w="105" w:type="dxa"/>
              <w:right w:w="105" w:type="dxa"/>
            </w:tcMar>
            <w:vAlign w:val="center"/>
          </w:tcPr>
          <w:p w14:paraId="0C7D9382" w14:textId="63456A49" w:rsidR="77BE0170" w:rsidRDefault="77BE0170" w:rsidP="77BE0170">
            <w:pPr>
              <w:spacing w:after="0" w:line="240" w:lineRule="auto"/>
              <w:jc w:val="center"/>
              <w:rPr>
                <w:rFonts w:ascii="Calibri" w:eastAsia="Calibri" w:hAnsi="Calibri" w:cs="Calibri"/>
                <w:color w:val="000000" w:themeColor="text1"/>
                <w:sz w:val="18"/>
                <w:szCs w:val="18"/>
              </w:rPr>
            </w:pPr>
            <w:r w:rsidRPr="77BE0170">
              <w:rPr>
                <w:rFonts w:ascii="Calibri" w:eastAsia="Calibri" w:hAnsi="Calibri" w:cs="Calibri"/>
                <w:color w:val="000000" w:themeColor="text1"/>
                <w:sz w:val="18"/>
                <w:szCs w:val="18"/>
                <w:lang w:val="en-GB"/>
              </w:rPr>
              <w:t>Δ Max TWLs (m)</w:t>
            </w:r>
          </w:p>
        </w:tc>
        <w:tc>
          <w:tcPr>
            <w:tcW w:w="555" w:type="dxa"/>
            <w:tcBorders>
              <w:top w:val="single" w:sz="6" w:space="0" w:color="A6A6A6" w:themeColor="background1" w:themeShade="A6"/>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FCE9EC"/>
            <w:tcMar>
              <w:left w:w="105" w:type="dxa"/>
              <w:right w:w="105" w:type="dxa"/>
            </w:tcMar>
            <w:vAlign w:val="center"/>
          </w:tcPr>
          <w:p w14:paraId="4EB31AC5" w14:textId="2C9AEE15" w:rsidR="77BE0170" w:rsidRDefault="77BE0170" w:rsidP="77BE0170">
            <w:pPr>
              <w:spacing w:after="0" w:line="240" w:lineRule="auto"/>
              <w:jc w:val="center"/>
              <w:rPr>
                <w:rFonts w:ascii="Calibri" w:eastAsia="Calibri" w:hAnsi="Calibri" w:cs="Calibri"/>
                <w:color w:val="000000" w:themeColor="text1"/>
                <w:sz w:val="18"/>
                <w:szCs w:val="18"/>
              </w:rPr>
            </w:pPr>
            <w:r w:rsidRPr="77BE0170">
              <w:rPr>
                <w:rFonts w:ascii="Calibri" w:eastAsia="Calibri" w:hAnsi="Calibri" w:cs="Calibri"/>
                <w:color w:val="000000" w:themeColor="text1"/>
                <w:sz w:val="18"/>
                <w:szCs w:val="18"/>
              </w:rPr>
              <w:t>0.06</w:t>
            </w:r>
          </w:p>
        </w:tc>
        <w:tc>
          <w:tcPr>
            <w:tcW w:w="705" w:type="dxa"/>
            <w:tcBorders>
              <w:top w:val="single" w:sz="6" w:space="0" w:color="A6A6A6" w:themeColor="background1" w:themeShade="A6"/>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F9797B"/>
            <w:tcMar>
              <w:left w:w="105" w:type="dxa"/>
              <w:right w:w="105" w:type="dxa"/>
            </w:tcMar>
            <w:vAlign w:val="center"/>
          </w:tcPr>
          <w:p w14:paraId="65E68F42" w14:textId="13930E64" w:rsidR="77BE0170" w:rsidRDefault="77BE0170" w:rsidP="77BE0170">
            <w:pPr>
              <w:spacing w:after="0" w:line="240" w:lineRule="auto"/>
              <w:jc w:val="center"/>
              <w:rPr>
                <w:rFonts w:ascii="Calibri" w:eastAsia="Calibri" w:hAnsi="Calibri" w:cs="Calibri"/>
                <w:color w:val="000000" w:themeColor="text1"/>
                <w:sz w:val="18"/>
                <w:szCs w:val="18"/>
              </w:rPr>
            </w:pPr>
            <w:r w:rsidRPr="77BE0170">
              <w:rPr>
                <w:rFonts w:ascii="Calibri" w:eastAsia="Calibri" w:hAnsi="Calibri" w:cs="Calibri"/>
                <w:color w:val="000000" w:themeColor="text1"/>
                <w:sz w:val="18"/>
                <w:szCs w:val="18"/>
              </w:rPr>
              <w:t>0.34</w:t>
            </w:r>
          </w:p>
        </w:tc>
        <w:tc>
          <w:tcPr>
            <w:tcW w:w="555" w:type="dxa"/>
            <w:tcBorders>
              <w:top w:val="single" w:sz="6" w:space="0" w:color="A6A6A6" w:themeColor="background1" w:themeShade="A6"/>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FBCDCF"/>
            <w:tcMar>
              <w:left w:w="105" w:type="dxa"/>
              <w:right w:w="105" w:type="dxa"/>
            </w:tcMar>
            <w:vAlign w:val="center"/>
          </w:tcPr>
          <w:p w14:paraId="061BF845" w14:textId="218109CA" w:rsidR="77BE0170" w:rsidRDefault="77BE0170" w:rsidP="77BE0170">
            <w:pPr>
              <w:spacing w:after="0" w:line="240" w:lineRule="auto"/>
              <w:jc w:val="center"/>
              <w:rPr>
                <w:rFonts w:ascii="Calibri" w:eastAsia="Calibri" w:hAnsi="Calibri" w:cs="Calibri"/>
                <w:color w:val="000000" w:themeColor="text1"/>
                <w:sz w:val="18"/>
                <w:szCs w:val="18"/>
              </w:rPr>
            </w:pPr>
            <w:r w:rsidRPr="77BE0170">
              <w:rPr>
                <w:rFonts w:ascii="Calibri" w:eastAsia="Calibri" w:hAnsi="Calibri" w:cs="Calibri"/>
                <w:color w:val="000000" w:themeColor="text1"/>
                <w:sz w:val="18"/>
                <w:szCs w:val="18"/>
              </w:rPr>
              <w:t>0.13</w:t>
            </w:r>
          </w:p>
        </w:tc>
        <w:tc>
          <w:tcPr>
            <w:tcW w:w="705" w:type="dxa"/>
            <w:tcBorders>
              <w:top w:val="single" w:sz="6" w:space="0" w:color="A6A6A6" w:themeColor="background1" w:themeShade="A6"/>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FAB1B3"/>
            <w:tcMar>
              <w:left w:w="105" w:type="dxa"/>
              <w:right w:w="105" w:type="dxa"/>
            </w:tcMar>
            <w:vAlign w:val="center"/>
          </w:tcPr>
          <w:p w14:paraId="1912994D" w14:textId="49ED6FEC" w:rsidR="77BE0170" w:rsidRDefault="77BE0170" w:rsidP="77BE0170">
            <w:pPr>
              <w:spacing w:after="0" w:line="240" w:lineRule="auto"/>
              <w:jc w:val="center"/>
              <w:rPr>
                <w:rFonts w:ascii="Calibri" w:eastAsia="Calibri" w:hAnsi="Calibri" w:cs="Calibri"/>
                <w:color w:val="000000" w:themeColor="text1"/>
                <w:sz w:val="18"/>
                <w:szCs w:val="18"/>
              </w:rPr>
            </w:pPr>
            <w:r w:rsidRPr="77BE0170">
              <w:rPr>
                <w:rFonts w:ascii="Calibri" w:eastAsia="Calibri" w:hAnsi="Calibri" w:cs="Calibri"/>
                <w:color w:val="000000" w:themeColor="text1"/>
                <w:sz w:val="18"/>
                <w:szCs w:val="18"/>
              </w:rPr>
              <w:t>0.2</w:t>
            </w:r>
          </w:p>
        </w:tc>
        <w:tc>
          <w:tcPr>
            <w:tcW w:w="705" w:type="dxa"/>
            <w:tcBorders>
              <w:top w:val="single" w:sz="6" w:space="0" w:color="A6A6A6" w:themeColor="background1" w:themeShade="A6"/>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FCF1F3"/>
            <w:tcMar>
              <w:left w:w="105" w:type="dxa"/>
              <w:right w:w="105" w:type="dxa"/>
            </w:tcMar>
            <w:vAlign w:val="center"/>
          </w:tcPr>
          <w:p w14:paraId="42BDE1D7" w14:textId="57C8CC0D" w:rsidR="77BE0170" w:rsidRDefault="77BE0170" w:rsidP="77BE0170">
            <w:pPr>
              <w:spacing w:after="0" w:line="240" w:lineRule="auto"/>
              <w:jc w:val="center"/>
              <w:rPr>
                <w:rFonts w:ascii="Calibri" w:eastAsia="Calibri" w:hAnsi="Calibri" w:cs="Calibri"/>
                <w:color w:val="000000" w:themeColor="text1"/>
                <w:sz w:val="18"/>
                <w:szCs w:val="18"/>
              </w:rPr>
            </w:pPr>
            <w:r w:rsidRPr="77BE0170">
              <w:rPr>
                <w:rFonts w:ascii="Calibri" w:eastAsia="Calibri" w:hAnsi="Calibri" w:cs="Calibri"/>
                <w:color w:val="000000" w:themeColor="text1"/>
                <w:sz w:val="18"/>
                <w:szCs w:val="18"/>
              </w:rPr>
              <w:t>0.04</w:t>
            </w:r>
          </w:p>
        </w:tc>
        <w:tc>
          <w:tcPr>
            <w:tcW w:w="840" w:type="dxa"/>
            <w:tcBorders>
              <w:top w:val="single" w:sz="6" w:space="0" w:color="A6A6A6" w:themeColor="background1" w:themeShade="A6"/>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FBCDCF"/>
            <w:tcMar>
              <w:left w:w="105" w:type="dxa"/>
              <w:right w:w="105" w:type="dxa"/>
            </w:tcMar>
            <w:vAlign w:val="center"/>
          </w:tcPr>
          <w:p w14:paraId="0DAFB816" w14:textId="7AABD058" w:rsidR="77BE0170" w:rsidRDefault="77BE0170" w:rsidP="77BE0170">
            <w:pPr>
              <w:spacing w:after="0" w:line="240" w:lineRule="auto"/>
              <w:jc w:val="center"/>
              <w:rPr>
                <w:rFonts w:ascii="Calibri" w:eastAsia="Calibri" w:hAnsi="Calibri" w:cs="Calibri"/>
                <w:color w:val="000000" w:themeColor="text1"/>
                <w:sz w:val="18"/>
                <w:szCs w:val="18"/>
              </w:rPr>
            </w:pPr>
            <w:r w:rsidRPr="77BE0170">
              <w:rPr>
                <w:rFonts w:ascii="Calibri" w:eastAsia="Calibri" w:hAnsi="Calibri" w:cs="Calibri"/>
                <w:color w:val="000000" w:themeColor="text1"/>
                <w:sz w:val="18"/>
                <w:szCs w:val="18"/>
                <w:lang w:val="en-GB"/>
              </w:rPr>
              <w:t>0.13</w:t>
            </w:r>
          </w:p>
        </w:tc>
        <w:tc>
          <w:tcPr>
            <w:tcW w:w="555" w:type="dxa"/>
            <w:tcBorders>
              <w:top w:val="single" w:sz="6" w:space="0" w:color="A6A6A6" w:themeColor="background1" w:themeShade="A6"/>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FCE9EC"/>
            <w:tcMar>
              <w:left w:w="105" w:type="dxa"/>
              <w:right w:w="105" w:type="dxa"/>
            </w:tcMar>
            <w:vAlign w:val="center"/>
          </w:tcPr>
          <w:p w14:paraId="2DC1C7AD" w14:textId="0D1B6CE8" w:rsidR="77BE0170" w:rsidRDefault="77BE0170" w:rsidP="77BE0170">
            <w:pPr>
              <w:spacing w:after="0" w:line="240" w:lineRule="auto"/>
              <w:jc w:val="center"/>
              <w:rPr>
                <w:rFonts w:ascii="Calibri" w:eastAsia="Calibri" w:hAnsi="Calibri" w:cs="Calibri"/>
                <w:color w:val="000000" w:themeColor="text1"/>
                <w:sz w:val="18"/>
                <w:szCs w:val="18"/>
              </w:rPr>
            </w:pPr>
            <w:r w:rsidRPr="77BE0170">
              <w:rPr>
                <w:rFonts w:ascii="Calibri" w:eastAsia="Calibri" w:hAnsi="Calibri" w:cs="Calibri"/>
                <w:color w:val="000000" w:themeColor="text1"/>
                <w:sz w:val="18"/>
                <w:szCs w:val="18"/>
                <w:lang w:val="en-GB"/>
              </w:rPr>
              <w:t>0.06</w:t>
            </w:r>
          </w:p>
        </w:tc>
        <w:tc>
          <w:tcPr>
            <w:tcW w:w="945" w:type="dxa"/>
            <w:tcBorders>
              <w:top w:val="single" w:sz="6" w:space="0" w:color="A6A6A6" w:themeColor="background1" w:themeShade="A6"/>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FBCDCF"/>
            <w:tcMar>
              <w:left w:w="105" w:type="dxa"/>
              <w:right w:w="105" w:type="dxa"/>
            </w:tcMar>
            <w:vAlign w:val="center"/>
          </w:tcPr>
          <w:p w14:paraId="491F5EF5" w14:textId="3D1EEBAD" w:rsidR="77BE0170" w:rsidRDefault="77BE0170" w:rsidP="77BE0170">
            <w:pPr>
              <w:spacing w:after="0" w:line="240" w:lineRule="auto"/>
              <w:jc w:val="center"/>
              <w:rPr>
                <w:rFonts w:ascii="Calibri" w:eastAsia="Calibri" w:hAnsi="Calibri" w:cs="Calibri"/>
                <w:color w:val="000000" w:themeColor="text1"/>
                <w:sz w:val="18"/>
                <w:szCs w:val="18"/>
              </w:rPr>
            </w:pPr>
            <w:r w:rsidRPr="77BE0170">
              <w:rPr>
                <w:rFonts w:ascii="Calibri" w:eastAsia="Calibri" w:hAnsi="Calibri" w:cs="Calibri"/>
                <w:color w:val="000000" w:themeColor="text1"/>
                <w:sz w:val="18"/>
                <w:szCs w:val="18"/>
              </w:rPr>
              <w:t>0.13</w:t>
            </w:r>
          </w:p>
        </w:tc>
        <w:tc>
          <w:tcPr>
            <w:tcW w:w="690" w:type="dxa"/>
            <w:tcBorders>
              <w:top w:val="single" w:sz="6" w:space="0" w:color="A6A6A6" w:themeColor="background1" w:themeShade="A6"/>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FBD5D7"/>
            <w:tcMar>
              <w:left w:w="105" w:type="dxa"/>
              <w:right w:w="105" w:type="dxa"/>
            </w:tcMar>
            <w:vAlign w:val="center"/>
          </w:tcPr>
          <w:p w14:paraId="6DA617E4" w14:textId="6E0A0778" w:rsidR="77BE0170" w:rsidRDefault="77BE0170" w:rsidP="77BE0170">
            <w:pPr>
              <w:spacing w:after="0" w:line="240" w:lineRule="auto"/>
              <w:jc w:val="center"/>
              <w:rPr>
                <w:rFonts w:ascii="Calibri" w:eastAsia="Calibri" w:hAnsi="Calibri" w:cs="Calibri"/>
                <w:color w:val="000000" w:themeColor="text1"/>
                <w:sz w:val="18"/>
                <w:szCs w:val="18"/>
              </w:rPr>
            </w:pPr>
            <w:r w:rsidRPr="77BE0170">
              <w:rPr>
                <w:rFonts w:ascii="Calibri" w:eastAsia="Calibri" w:hAnsi="Calibri" w:cs="Calibri"/>
                <w:color w:val="000000" w:themeColor="text1"/>
                <w:sz w:val="18"/>
                <w:szCs w:val="18"/>
              </w:rPr>
              <w:t>0.11</w:t>
            </w:r>
          </w:p>
        </w:tc>
        <w:tc>
          <w:tcPr>
            <w:tcW w:w="690" w:type="dxa"/>
            <w:tcBorders>
              <w:top w:val="single" w:sz="6" w:space="0" w:color="A6A6A6" w:themeColor="background1" w:themeShade="A6"/>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FAA1A3"/>
            <w:tcMar>
              <w:left w:w="105" w:type="dxa"/>
              <w:right w:w="105" w:type="dxa"/>
            </w:tcMar>
            <w:vAlign w:val="center"/>
          </w:tcPr>
          <w:p w14:paraId="4476D174" w14:textId="4F23A0F6" w:rsidR="77BE0170" w:rsidRDefault="77BE0170" w:rsidP="77BE0170">
            <w:pPr>
              <w:spacing w:after="0" w:line="240" w:lineRule="auto"/>
              <w:jc w:val="center"/>
              <w:rPr>
                <w:rFonts w:ascii="Calibri" w:eastAsia="Calibri" w:hAnsi="Calibri" w:cs="Calibri"/>
                <w:color w:val="000000" w:themeColor="text1"/>
                <w:sz w:val="18"/>
                <w:szCs w:val="18"/>
              </w:rPr>
            </w:pPr>
            <w:r w:rsidRPr="77BE0170">
              <w:rPr>
                <w:rFonts w:ascii="Calibri" w:eastAsia="Calibri" w:hAnsi="Calibri" w:cs="Calibri"/>
                <w:color w:val="000000" w:themeColor="text1"/>
                <w:sz w:val="18"/>
                <w:szCs w:val="18"/>
              </w:rPr>
              <w:t>0.24</w:t>
            </w:r>
          </w:p>
        </w:tc>
      </w:tr>
      <w:tr w:rsidR="77BE0170" w14:paraId="08E60D92" w14:textId="77777777" w:rsidTr="77BE0170">
        <w:trPr>
          <w:trHeight w:val="555"/>
        </w:trPr>
        <w:tc>
          <w:tcPr>
            <w:tcW w:w="840" w:type="dxa"/>
            <w:vMerge/>
            <w:tcBorders>
              <w:left w:val="single" w:sz="0" w:space="0" w:color="BFBFBF" w:themeColor="background1" w:themeShade="BF"/>
              <w:bottom w:val="single" w:sz="0" w:space="0" w:color="A6A6A6" w:themeColor="background1" w:themeShade="A6"/>
              <w:right w:val="single" w:sz="0" w:space="0" w:color="BFBFBF" w:themeColor="background1" w:themeShade="BF"/>
            </w:tcBorders>
            <w:vAlign w:val="center"/>
          </w:tcPr>
          <w:p w14:paraId="271F2CBD" w14:textId="77777777" w:rsidR="00C90369" w:rsidRDefault="00C90369"/>
        </w:tc>
        <w:tc>
          <w:tcPr>
            <w:tcW w:w="1125" w:type="dxa"/>
            <w:tcBorders>
              <w:top w:val="single" w:sz="6" w:space="0" w:color="BFBFBF" w:themeColor="background1" w:themeShade="BF"/>
              <w:left w:val="nil"/>
              <w:bottom w:val="single" w:sz="6" w:space="0" w:color="A6A6A6" w:themeColor="background1" w:themeShade="A6"/>
              <w:right w:val="single" w:sz="6" w:space="0" w:color="BFBFBF" w:themeColor="background1" w:themeShade="BF"/>
            </w:tcBorders>
            <w:tcMar>
              <w:left w:w="105" w:type="dxa"/>
              <w:right w:w="105" w:type="dxa"/>
            </w:tcMar>
            <w:vAlign w:val="center"/>
          </w:tcPr>
          <w:p w14:paraId="4A1164CD" w14:textId="2FE99FAD" w:rsidR="77BE0170" w:rsidRDefault="77BE0170" w:rsidP="77BE0170">
            <w:pPr>
              <w:spacing w:after="0" w:line="240" w:lineRule="auto"/>
              <w:jc w:val="center"/>
              <w:rPr>
                <w:rFonts w:ascii="Calibri" w:eastAsia="Calibri" w:hAnsi="Calibri" w:cs="Calibri"/>
                <w:color w:val="000000" w:themeColor="text1"/>
                <w:sz w:val="18"/>
                <w:szCs w:val="18"/>
              </w:rPr>
            </w:pPr>
            <w:r w:rsidRPr="77BE0170">
              <w:rPr>
                <w:rFonts w:ascii="Calibri" w:eastAsia="Calibri" w:hAnsi="Calibri" w:cs="Calibri"/>
                <w:color w:val="000000" w:themeColor="text1"/>
                <w:sz w:val="18"/>
                <w:szCs w:val="18"/>
                <w:lang w:val="en-GB"/>
              </w:rPr>
              <w:t>Δ Peak Time (min)</w:t>
            </w:r>
          </w:p>
        </w:tc>
        <w:tc>
          <w:tcPr>
            <w:tcW w:w="555" w:type="dxa"/>
            <w:tcBorders>
              <w:top w:val="single" w:sz="6" w:space="0" w:color="BFBFBF" w:themeColor="background1" w:themeShade="BF"/>
              <w:left w:val="single" w:sz="6" w:space="0" w:color="BFBFBF" w:themeColor="background1" w:themeShade="BF"/>
              <w:bottom w:val="single" w:sz="6" w:space="0" w:color="A6A6A6" w:themeColor="background1" w:themeShade="A6"/>
              <w:right w:val="single" w:sz="6" w:space="0" w:color="BFBFBF" w:themeColor="background1" w:themeShade="BF"/>
            </w:tcBorders>
            <w:shd w:val="clear" w:color="auto" w:fill="FFC000" w:themeFill="accent4"/>
            <w:tcMar>
              <w:left w:w="105" w:type="dxa"/>
              <w:right w:w="105" w:type="dxa"/>
            </w:tcMar>
            <w:vAlign w:val="center"/>
          </w:tcPr>
          <w:p w14:paraId="020C69B1" w14:textId="4D3DB34A" w:rsidR="77BE0170" w:rsidRDefault="77BE0170" w:rsidP="77BE0170">
            <w:pPr>
              <w:spacing w:after="0" w:line="240" w:lineRule="auto"/>
              <w:jc w:val="center"/>
              <w:rPr>
                <w:rFonts w:ascii="Calibri" w:eastAsia="Calibri" w:hAnsi="Calibri" w:cs="Calibri"/>
                <w:color w:val="000000" w:themeColor="text1"/>
                <w:sz w:val="18"/>
                <w:szCs w:val="18"/>
              </w:rPr>
            </w:pPr>
            <w:r w:rsidRPr="77BE0170">
              <w:rPr>
                <w:rFonts w:ascii="Calibri" w:eastAsia="Calibri" w:hAnsi="Calibri" w:cs="Calibri"/>
                <w:color w:val="000000" w:themeColor="text1"/>
                <w:sz w:val="18"/>
                <w:szCs w:val="18"/>
              </w:rPr>
              <w:t>75</w:t>
            </w:r>
          </w:p>
        </w:tc>
        <w:tc>
          <w:tcPr>
            <w:tcW w:w="705" w:type="dxa"/>
            <w:tcBorders>
              <w:top w:val="single" w:sz="6" w:space="0" w:color="BFBFBF" w:themeColor="background1" w:themeShade="BF"/>
              <w:left w:val="single" w:sz="6" w:space="0" w:color="BFBFBF" w:themeColor="background1" w:themeShade="BF"/>
              <w:bottom w:val="single" w:sz="6" w:space="0" w:color="A6A6A6" w:themeColor="background1" w:themeShade="A6"/>
              <w:right w:val="single" w:sz="6" w:space="0" w:color="BFBFBF" w:themeColor="background1" w:themeShade="BF"/>
            </w:tcBorders>
            <w:shd w:val="clear" w:color="auto" w:fill="FFE699"/>
            <w:tcMar>
              <w:left w:w="105" w:type="dxa"/>
              <w:right w:w="105" w:type="dxa"/>
            </w:tcMar>
            <w:vAlign w:val="center"/>
          </w:tcPr>
          <w:p w14:paraId="110FECFD" w14:textId="3E2D4793" w:rsidR="77BE0170" w:rsidRDefault="77BE0170" w:rsidP="77BE0170">
            <w:pPr>
              <w:spacing w:after="0" w:line="240" w:lineRule="auto"/>
              <w:jc w:val="center"/>
              <w:rPr>
                <w:rFonts w:ascii="Calibri" w:eastAsia="Calibri" w:hAnsi="Calibri" w:cs="Calibri"/>
                <w:color w:val="000000" w:themeColor="text1"/>
                <w:sz w:val="18"/>
                <w:szCs w:val="18"/>
              </w:rPr>
            </w:pPr>
            <w:r w:rsidRPr="77BE0170">
              <w:rPr>
                <w:rFonts w:ascii="Calibri" w:eastAsia="Calibri" w:hAnsi="Calibri" w:cs="Calibri"/>
                <w:color w:val="000000" w:themeColor="text1"/>
                <w:sz w:val="18"/>
                <w:szCs w:val="18"/>
              </w:rPr>
              <w:t>30</w:t>
            </w:r>
          </w:p>
        </w:tc>
        <w:tc>
          <w:tcPr>
            <w:tcW w:w="555" w:type="dxa"/>
            <w:tcBorders>
              <w:top w:val="single" w:sz="6" w:space="0" w:color="BFBFBF" w:themeColor="background1" w:themeShade="BF"/>
              <w:left w:val="single" w:sz="6" w:space="0" w:color="BFBFBF" w:themeColor="background1" w:themeShade="BF"/>
              <w:bottom w:val="single" w:sz="6" w:space="0" w:color="A6A6A6" w:themeColor="background1" w:themeShade="A6"/>
              <w:right w:val="single" w:sz="6" w:space="0" w:color="BFBFBF" w:themeColor="background1" w:themeShade="BF"/>
            </w:tcBorders>
            <w:shd w:val="clear" w:color="auto" w:fill="FFDA66"/>
            <w:tcMar>
              <w:left w:w="105" w:type="dxa"/>
              <w:right w:w="105" w:type="dxa"/>
            </w:tcMar>
            <w:vAlign w:val="center"/>
          </w:tcPr>
          <w:p w14:paraId="3367C326" w14:textId="136AA720" w:rsidR="77BE0170" w:rsidRDefault="77BE0170" w:rsidP="77BE0170">
            <w:pPr>
              <w:spacing w:after="0" w:line="240" w:lineRule="auto"/>
              <w:jc w:val="center"/>
              <w:rPr>
                <w:rFonts w:ascii="Calibri" w:eastAsia="Calibri" w:hAnsi="Calibri" w:cs="Calibri"/>
                <w:color w:val="000000" w:themeColor="text1"/>
                <w:sz w:val="18"/>
                <w:szCs w:val="18"/>
              </w:rPr>
            </w:pPr>
            <w:r w:rsidRPr="77BE0170">
              <w:rPr>
                <w:rFonts w:ascii="Calibri" w:eastAsia="Calibri" w:hAnsi="Calibri" w:cs="Calibri"/>
                <w:color w:val="000000" w:themeColor="text1"/>
                <w:sz w:val="18"/>
                <w:szCs w:val="18"/>
              </w:rPr>
              <w:t>45</w:t>
            </w:r>
          </w:p>
        </w:tc>
        <w:tc>
          <w:tcPr>
            <w:tcW w:w="705" w:type="dxa"/>
            <w:tcBorders>
              <w:top w:val="single" w:sz="6" w:space="0" w:color="BFBFBF" w:themeColor="background1" w:themeShade="BF"/>
              <w:left w:val="single" w:sz="6" w:space="0" w:color="BFBFBF" w:themeColor="background1" w:themeShade="BF"/>
              <w:bottom w:val="single" w:sz="6" w:space="0" w:color="A6A6A6" w:themeColor="background1" w:themeShade="A6"/>
              <w:right w:val="single" w:sz="6" w:space="0" w:color="BFBFBF" w:themeColor="background1" w:themeShade="BF"/>
            </w:tcBorders>
            <w:shd w:val="clear" w:color="auto" w:fill="FFE699"/>
            <w:tcMar>
              <w:left w:w="105" w:type="dxa"/>
              <w:right w:w="105" w:type="dxa"/>
            </w:tcMar>
            <w:vAlign w:val="center"/>
          </w:tcPr>
          <w:p w14:paraId="3D8A4532" w14:textId="4794ECE1" w:rsidR="77BE0170" w:rsidRDefault="77BE0170" w:rsidP="77BE0170">
            <w:pPr>
              <w:spacing w:after="0" w:line="240" w:lineRule="auto"/>
              <w:jc w:val="center"/>
              <w:rPr>
                <w:rFonts w:ascii="Calibri" w:eastAsia="Calibri" w:hAnsi="Calibri" w:cs="Calibri"/>
                <w:color w:val="000000" w:themeColor="text1"/>
                <w:sz w:val="18"/>
                <w:szCs w:val="18"/>
              </w:rPr>
            </w:pPr>
            <w:r w:rsidRPr="77BE0170">
              <w:rPr>
                <w:rFonts w:ascii="Calibri" w:eastAsia="Calibri" w:hAnsi="Calibri" w:cs="Calibri"/>
                <w:color w:val="000000" w:themeColor="text1"/>
                <w:sz w:val="18"/>
                <w:szCs w:val="18"/>
              </w:rPr>
              <w:t>30</w:t>
            </w:r>
          </w:p>
        </w:tc>
        <w:tc>
          <w:tcPr>
            <w:tcW w:w="705" w:type="dxa"/>
            <w:tcBorders>
              <w:top w:val="single" w:sz="6" w:space="0" w:color="BFBFBF" w:themeColor="background1" w:themeShade="BF"/>
              <w:left w:val="single" w:sz="6" w:space="0" w:color="BFBFBF" w:themeColor="background1" w:themeShade="BF"/>
              <w:bottom w:val="single" w:sz="6" w:space="0" w:color="A6A6A6" w:themeColor="background1" w:themeShade="A6"/>
              <w:right w:val="single" w:sz="6" w:space="0" w:color="BFBFBF" w:themeColor="background1" w:themeShade="BF"/>
            </w:tcBorders>
            <w:shd w:val="clear" w:color="auto" w:fill="FFFFFF" w:themeFill="background1"/>
            <w:tcMar>
              <w:left w:w="105" w:type="dxa"/>
              <w:right w:w="105" w:type="dxa"/>
            </w:tcMar>
            <w:vAlign w:val="center"/>
          </w:tcPr>
          <w:p w14:paraId="01F5106D" w14:textId="017F7E19" w:rsidR="77BE0170" w:rsidRDefault="77BE0170" w:rsidP="77BE0170">
            <w:pPr>
              <w:spacing w:after="0" w:line="240" w:lineRule="auto"/>
              <w:jc w:val="center"/>
              <w:rPr>
                <w:rFonts w:ascii="Calibri" w:eastAsia="Calibri" w:hAnsi="Calibri" w:cs="Calibri"/>
                <w:color w:val="000000" w:themeColor="text1"/>
                <w:sz w:val="18"/>
                <w:szCs w:val="18"/>
              </w:rPr>
            </w:pPr>
            <w:r w:rsidRPr="77BE0170">
              <w:rPr>
                <w:rFonts w:ascii="Calibri" w:eastAsia="Calibri" w:hAnsi="Calibri" w:cs="Calibri"/>
                <w:color w:val="000000" w:themeColor="text1"/>
                <w:sz w:val="18"/>
                <w:szCs w:val="18"/>
              </w:rPr>
              <w:t>0</w:t>
            </w:r>
          </w:p>
        </w:tc>
        <w:tc>
          <w:tcPr>
            <w:tcW w:w="840" w:type="dxa"/>
            <w:tcBorders>
              <w:top w:val="single" w:sz="6" w:space="0" w:color="BFBFBF" w:themeColor="background1" w:themeShade="BF"/>
              <w:left w:val="single" w:sz="6" w:space="0" w:color="BFBFBF" w:themeColor="background1" w:themeShade="BF"/>
              <w:bottom w:val="single" w:sz="6" w:space="0" w:color="A6A6A6" w:themeColor="background1" w:themeShade="A6"/>
              <w:right w:val="single" w:sz="6" w:space="0" w:color="BFBFBF" w:themeColor="background1" w:themeShade="BF"/>
            </w:tcBorders>
            <w:shd w:val="clear" w:color="auto" w:fill="FFF3CC"/>
            <w:tcMar>
              <w:left w:w="105" w:type="dxa"/>
              <w:right w:w="105" w:type="dxa"/>
            </w:tcMar>
            <w:vAlign w:val="center"/>
          </w:tcPr>
          <w:p w14:paraId="5B1C5B35" w14:textId="1B7882C3" w:rsidR="77BE0170" w:rsidRDefault="77BE0170" w:rsidP="77BE0170">
            <w:pPr>
              <w:spacing w:after="0" w:line="240" w:lineRule="auto"/>
              <w:jc w:val="center"/>
              <w:rPr>
                <w:rFonts w:ascii="Calibri" w:eastAsia="Calibri" w:hAnsi="Calibri" w:cs="Calibri"/>
                <w:color w:val="000000" w:themeColor="text1"/>
                <w:sz w:val="18"/>
                <w:szCs w:val="18"/>
              </w:rPr>
            </w:pPr>
            <w:r w:rsidRPr="77BE0170">
              <w:rPr>
                <w:rFonts w:ascii="Calibri" w:eastAsia="Calibri" w:hAnsi="Calibri" w:cs="Calibri"/>
                <w:color w:val="000000" w:themeColor="text1"/>
                <w:sz w:val="18"/>
                <w:szCs w:val="18"/>
                <w:lang w:val="en-GB"/>
              </w:rPr>
              <w:t>15</w:t>
            </w:r>
          </w:p>
        </w:tc>
        <w:tc>
          <w:tcPr>
            <w:tcW w:w="555" w:type="dxa"/>
            <w:tcBorders>
              <w:top w:val="single" w:sz="6" w:space="0" w:color="BFBFBF" w:themeColor="background1" w:themeShade="BF"/>
              <w:left w:val="single" w:sz="6" w:space="0" w:color="BFBFBF" w:themeColor="background1" w:themeShade="BF"/>
              <w:bottom w:val="single" w:sz="6" w:space="0" w:color="A6A6A6" w:themeColor="background1" w:themeShade="A6"/>
              <w:right w:val="single" w:sz="6" w:space="0" w:color="BFBFBF" w:themeColor="background1" w:themeShade="BF"/>
            </w:tcBorders>
            <w:shd w:val="clear" w:color="auto" w:fill="FFFFFF" w:themeFill="background1"/>
            <w:tcMar>
              <w:left w:w="105" w:type="dxa"/>
              <w:right w:w="105" w:type="dxa"/>
            </w:tcMar>
            <w:vAlign w:val="center"/>
          </w:tcPr>
          <w:p w14:paraId="1B776B5A" w14:textId="608C1231" w:rsidR="77BE0170" w:rsidRDefault="77BE0170" w:rsidP="77BE0170">
            <w:pPr>
              <w:spacing w:after="0" w:line="240" w:lineRule="auto"/>
              <w:jc w:val="center"/>
              <w:rPr>
                <w:rFonts w:ascii="Calibri" w:eastAsia="Calibri" w:hAnsi="Calibri" w:cs="Calibri"/>
                <w:color w:val="000000" w:themeColor="text1"/>
                <w:sz w:val="18"/>
                <w:szCs w:val="18"/>
              </w:rPr>
            </w:pPr>
            <w:r w:rsidRPr="77BE0170">
              <w:rPr>
                <w:rFonts w:ascii="Calibri" w:eastAsia="Calibri" w:hAnsi="Calibri" w:cs="Calibri"/>
                <w:color w:val="000000" w:themeColor="text1"/>
                <w:sz w:val="18"/>
                <w:szCs w:val="18"/>
                <w:lang w:val="en-GB"/>
              </w:rPr>
              <w:t>0</w:t>
            </w:r>
          </w:p>
        </w:tc>
        <w:tc>
          <w:tcPr>
            <w:tcW w:w="945" w:type="dxa"/>
            <w:tcBorders>
              <w:top w:val="single" w:sz="6" w:space="0" w:color="BFBFBF" w:themeColor="background1" w:themeShade="BF"/>
              <w:left w:val="single" w:sz="6" w:space="0" w:color="BFBFBF" w:themeColor="background1" w:themeShade="BF"/>
              <w:bottom w:val="single" w:sz="6" w:space="0" w:color="A6A6A6" w:themeColor="background1" w:themeShade="A6"/>
              <w:right w:val="single" w:sz="6" w:space="0" w:color="BFBFBF" w:themeColor="background1" w:themeShade="BF"/>
            </w:tcBorders>
            <w:shd w:val="clear" w:color="auto" w:fill="FFE699"/>
            <w:tcMar>
              <w:left w:w="105" w:type="dxa"/>
              <w:right w:w="105" w:type="dxa"/>
            </w:tcMar>
            <w:vAlign w:val="center"/>
          </w:tcPr>
          <w:p w14:paraId="4ACBCF10" w14:textId="78A2CCD6" w:rsidR="77BE0170" w:rsidRDefault="77BE0170" w:rsidP="77BE0170">
            <w:pPr>
              <w:spacing w:after="0" w:line="240" w:lineRule="auto"/>
              <w:jc w:val="center"/>
              <w:rPr>
                <w:rFonts w:ascii="Calibri" w:eastAsia="Calibri" w:hAnsi="Calibri" w:cs="Calibri"/>
                <w:color w:val="000000" w:themeColor="text1"/>
                <w:sz w:val="18"/>
                <w:szCs w:val="18"/>
              </w:rPr>
            </w:pPr>
            <w:r w:rsidRPr="77BE0170">
              <w:rPr>
                <w:rFonts w:ascii="Calibri" w:eastAsia="Calibri" w:hAnsi="Calibri" w:cs="Calibri"/>
                <w:color w:val="000000" w:themeColor="text1"/>
                <w:sz w:val="18"/>
                <w:szCs w:val="18"/>
              </w:rPr>
              <w:t>30</w:t>
            </w:r>
          </w:p>
        </w:tc>
        <w:tc>
          <w:tcPr>
            <w:tcW w:w="690" w:type="dxa"/>
            <w:tcBorders>
              <w:top w:val="single" w:sz="6" w:space="0" w:color="BFBFBF" w:themeColor="background1" w:themeShade="BF"/>
              <w:left w:val="single" w:sz="6" w:space="0" w:color="BFBFBF" w:themeColor="background1" w:themeShade="BF"/>
              <w:bottom w:val="single" w:sz="6" w:space="0" w:color="A6A6A6" w:themeColor="background1" w:themeShade="A6"/>
              <w:right w:val="single" w:sz="6" w:space="0" w:color="BFBFBF" w:themeColor="background1" w:themeShade="BF"/>
            </w:tcBorders>
            <w:shd w:val="clear" w:color="auto" w:fill="FFE699"/>
            <w:tcMar>
              <w:left w:w="105" w:type="dxa"/>
              <w:right w:w="105" w:type="dxa"/>
            </w:tcMar>
            <w:vAlign w:val="center"/>
          </w:tcPr>
          <w:p w14:paraId="2DE07A0D" w14:textId="0F2DBFDB" w:rsidR="77BE0170" w:rsidRDefault="77BE0170" w:rsidP="77BE0170">
            <w:pPr>
              <w:spacing w:after="0" w:line="240" w:lineRule="auto"/>
              <w:jc w:val="center"/>
              <w:rPr>
                <w:rFonts w:ascii="Calibri" w:eastAsia="Calibri" w:hAnsi="Calibri" w:cs="Calibri"/>
                <w:color w:val="000000" w:themeColor="text1"/>
                <w:sz w:val="18"/>
                <w:szCs w:val="18"/>
              </w:rPr>
            </w:pPr>
            <w:r w:rsidRPr="77BE0170">
              <w:rPr>
                <w:rFonts w:ascii="Calibri" w:eastAsia="Calibri" w:hAnsi="Calibri" w:cs="Calibri"/>
                <w:color w:val="000000" w:themeColor="text1"/>
                <w:sz w:val="18"/>
                <w:szCs w:val="18"/>
              </w:rPr>
              <w:t>30</w:t>
            </w:r>
          </w:p>
        </w:tc>
        <w:tc>
          <w:tcPr>
            <w:tcW w:w="690" w:type="dxa"/>
            <w:tcBorders>
              <w:top w:val="single" w:sz="6" w:space="0" w:color="BFBFBF" w:themeColor="background1" w:themeShade="BF"/>
              <w:left w:val="single" w:sz="6" w:space="0" w:color="BFBFBF" w:themeColor="background1" w:themeShade="BF"/>
              <w:bottom w:val="single" w:sz="6" w:space="0" w:color="A6A6A6" w:themeColor="background1" w:themeShade="A6"/>
              <w:right w:val="single" w:sz="6" w:space="0" w:color="BFBFBF" w:themeColor="background1" w:themeShade="BF"/>
            </w:tcBorders>
            <w:shd w:val="clear" w:color="auto" w:fill="FFF3CC"/>
            <w:tcMar>
              <w:left w:w="105" w:type="dxa"/>
              <w:right w:w="105" w:type="dxa"/>
            </w:tcMar>
            <w:vAlign w:val="center"/>
          </w:tcPr>
          <w:p w14:paraId="7B11CC1C" w14:textId="6AE47BE0" w:rsidR="77BE0170" w:rsidRDefault="77BE0170" w:rsidP="77BE0170">
            <w:pPr>
              <w:spacing w:after="0" w:line="240" w:lineRule="auto"/>
              <w:jc w:val="center"/>
              <w:rPr>
                <w:rFonts w:ascii="Calibri" w:eastAsia="Calibri" w:hAnsi="Calibri" w:cs="Calibri"/>
                <w:color w:val="000000" w:themeColor="text1"/>
                <w:sz w:val="18"/>
                <w:szCs w:val="18"/>
              </w:rPr>
            </w:pPr>
            <w:r w:rsidRPr="77BE0170">
              <w:rPr>
                <w:rFonts w:ascii="Calibri" w:eastAsia="Calibri" w:hAnsi="Calibri" w:cs="Calibri"/>
                <w:color w:val="000000" w:themeColor="text1"/>
                <w:sz w:val="18"/>
                <w:szCs w:val="18"/>
              </w:rPr>
              <w:t>15</w:t>
            </w:r>
          </w:p>
        </w:tc>
      </w:tr>
      <w:tr w:rsidR="77BE0170" w14:paraId="561881CB" w14:textId="77777777" w:rsidTr="77BE0170">
        <w:trPr>
          <w:trHeight w:val="555"/>
        </w:trPr>
        <w:tc>
          <w:tcPr>
            <w:tcW w:w="840" w:type="dxa"/>
            <w:vMerge w:val="restart"/>
            <w:tcBorders>
              <w:top w:val="nil"/>
              <w:left w:val="single" w:sz="6" w:space="0" w:color="BFBFBF" w:themeColor="background1" w:themeShade="BF"/>
              <w:bottom w:val="single" w:sz="6" w:space="0" w:color="A6A6A6" w:themeColor="background1" w:themeShade="A6"/>
              <w:right w:val="single" w:sz="6" w:space="0" w:color="BFBFBF" w:themeColor="background1" w:themeShade="BF"/>
            </w:tcBorders>
            <w:tcMar>
              <w:left w:w="105" w:type="dxa"/>
              <w:right w:w="105" w:type="dxa"/>
            </w:tcMar>
            <w:vAlign w:val="center"/>
          </w:tcPr>
          <w:p w14:paraId="3C8B8E1E" w14:textId="639C72E9" w:rsidR="77BE0170" w:rsidRDefault="77BE0170" w:rsidP="77BE0170">
            <w:pPr>
              <w:spacing w:after="0" w:line="240" w:lineRule="auto"/>
              <w:jc w:val="center"/>
              <w:rPr>
                <w:rFonts w:ascii="Calibri" w:eastAsia="Calibri" w:hAnsi="Calibri" w:cs="Calibri"/>
                <w:color w:val="000000" w:themeColor="text1"/>
                <w:sz w:val="18"/>
                <w:szCs w:val="18"/>
              </w:rPr>
            </w:pPr>
            <w:r w:rsidRPr="77BE0170">
              <w:rPr>
                <w:rFonts w:ascii="Calibri" w:eastAsia="Calibri" w:hAnsi="Calibri" w:cs="Calibri"/>
                <w:b/>
                <w:bCs/>
                <w:color w:val="000000" w:themeColor="text1"/>
                <w:sz w:val="18"/>
                <w:szCs w:val="18"/>
                <w:lang w:val="en-GB"/>
              </w:rPr>
              <w:t>Storm Corrie</w:t>
            </w:r>
          </w:p>
        </w:tc>
        <w:tc>
          <w:tcPr>
            <w:tcW w:w="1125" w:type="dxa"/>
            <w:tcBorders>
              <w:top w:val="single" w:sz="6" w:space="0" w:color="A6A6A6" w:themeColor="background1" w:themeShade="A6"/>
              <w:left w:val="single" w:sz="6" w:space="0" w:color="BFBFBF" w:themeColor="background1" w:themeShade="BF"/>
              <w:bottom w:val="single" w:sz="6" w:space="0" w:color="BFBFBF" w:themeColor="background1" w:themeShade="BF"/>
              <w:right w:val="single" w:sz="6" w:space="0" w:color="BFBFBF" w:themeColor="background1" w:themeShade="BF"/>
            </w:tcBorders>
            <w:tcMar>
              <w:left w:w="105" w:type="dxa"/>
              <w:right w:w="105" w:type="dxa"/>
            </w:tcMar>
            <w:vAlign w:val="center"/>
          </w:tcPr>
          <w:p w14:paraId="1D28954C" w14:textId="2E8C41D5" w:rsidR="77BE0170" w:rsidRDefault="77BE0170" w:rsidP="77BE0170">
            <w:pPr>
              <w:spacing w:after="0" w:line="240" w:lineRule="auto"/>
              <w:jc w:val="center"/>
              <w:rPr>
                <w:rFonts w:ascii="Calibri" w:eastAsia="Calibri" w:hAnsi="Calibri" w:cs="Calibri"/>
                <w:color w:val="000000" w:themeColor="text1"/>
                <w:sz w:val="18"/>
                <w:szCs w:val="18"/>
              </w:rPr>
            </w:pPr>
            <w:r w:rsidRPr="77BE0170">
              <w:rPr>
                <w:rFonts w:ascii="Calibri" w:eastAsia="Calibri" w:hAnsi="Calibri" w:cs="Calibri"/>
                <w:color w:val="000000" w:themeColor="text1"/>
                <w:sz w:val="18"/>
                <w:szCs w:val="18"/>
                <w:lang w:val="en-GB"/>
              </w:rPr>
              <w:t>Δ Max TWLs (m)</w:t>
            </w:r>
          </w:p>
        </w:tc>
        <w:tc>
          <w:tcPr>
            <w:tcW w:w="555" w:type="dxa"/>
            <w:tcBorders>
              <w:top w:val="single" w:sz="6" w:space="0" w:color="A6A6A6" w:themeColor="background1" w:themeShade="A6"/>
              <w:left w:val="single" w:sz="6" w:space="0" w:color="BFBFBF" w:themeColor="background1" w:themeShade="BF"/>
              <w:bottom w:val="single" w:sz="6" w:space="0" w:color="BFBFBF" w:themeColor="background1" w:themeShade="BF"/>
              <w:right w:val="single" w:sz="6" w:space="0" w:color="BFBFBF" w:themeColor="background1" w:themeShade="BF"/>
            </w:tcBorders>
            <w:tcMar>
              <w:left w:w="105" w:type="dxa"/>
              <w:right w:w="105" w:type="dxa"/>
            </w:tcMar>
            <w:vAlign w:val="center"/>
          </w:tcPr>
          <w:p w14:paraId="68188F8C" w14:textId="51B1B7C2" w:rsidR="77BE0170" w:rsidRDefault="77BE0170" w:rsidP="77BE0170">
            <w:pPr>
              <w:spacing w:after="0" w:line="240" w:lineRule="auto"/>
              <w:jc w:val="center"/>
              <w:rPr>
                <w:rFonts w:ascii="Calibri" w:eastAsia="Calibri" w:hAnsi="Calibri" w:cs="Calibri"/>
                <w:color w:val="000000" w:themeColor="text1"/>
                <w:sz w:val="18"/>
                <w:szCs w:val="18"/>
              </w:rPr>
            </w:pPr>
            <w:r w:rsidRPr="77BE0170">
              <w:rPr>
                <w:rFonts w:ascii="Calibri" w:eastAsia="Calibri" w:hAnsi="Calibri" w:cs="Calibri"/>
                <w:color w:val="000000" w:themeColor="text1"/>
                <w:sz w:val="18"/>
                <w:szCs w:val="18"/>
              </w:rPr>
              <w:t>-</w:t>
            </w:r>
          </w:p>
        </w:tc>
        <w:tc>
          <w:tcPr>
            <w:tcW w:w="705" w:type="dxa"/>
            <w:tcBorders>
              <w:top w:val="single" w:sz="6" w:space="0" w:color="A6A6A6" w:themeColor="background1" w:themeShade="A6"/>
              <w:left w:val="single" w:sz="6" w:space="0" w:color="BFBFBF" w:themeColor="background1" w:themeShade="BF"/>
              <w:bottom w:val="single" w:sz="6" w:space="0" w:color="BFBFBF" w:themeColor="background1" w:themeShade="BF"/>
              <w:right w:val="single" w:sz="6" w:space="0" w:color="BFBFBF" w:themeColor="background1" w:themeShade="BF"/>
            </w:tcBorders>
            <w:tcMar>
              <w:left w:w="105" w:type="dxa"/>
              <w:right w:w="105" w:type="dxa"/>
            </w:tcMar>
            <w:vAlign w:val="center"/>
          </w:tcPr>
          <w:p w14:paraId="0834BD7F" w14:textId="423C6B60" w:rsidR="77BE0170" w:rsidRDefault="77BE0170" w:rsidP="77BE0170">
            <w:pPr>
              <w:spacing w:after="0" w:line="240" w:lineRule="auto"/>
              <w:jc w:val="center"/>
              <w:rPr>
                <w:rFonts w:ascii="Calibri" w:eastAsia="Calibri" w:hAnsi="Calibri" w:cs="Calibri"/>
                <w:color w:val="000000" w:themeColor="text1"/>
                <w:sz w:val="18"/>
                <w:szCs w:val="18"/>
              </w:rPr>
            </w:pPr>
            <w:r w:rsidRPr="77BE0170">
              <w:rPr>
                <w:rFonts w:ascii="Calibri" w:eastAsia="Calibri" w:hAnsi="Calibri" w:cs="Calibri"/>
                <w:color w:val="000000" w:themeColor="text1"/>
                <w:sz w:val="18"/>
                <w:szCs w:val="18"/>
              </w:rPr>
              <w:t>-</w:t>
            </w:r>
          </w:p>
        </w:tc>
        <w:tc>
          <w:tcPr>
            <w:tcW w:w="555" w:type="dxa"/>
            <w:tcBorders>
              <w:top w:val="single" w:sz="6" w:space="0" w:color="A6A6A6" w:themeColor="background1" w:themeShade="A6"/>
              <w:left w:val="single" w:sz="6" w:space="0" w:color="BFBFBF" w:themeColor="background1" w:themeShade="BF"/>
              <w:bottom w:val="single" w:sz="6" w:space="0" w:color="BFBFBF" w:themeColor="background1" w:themeShade="BF"/>
              <w:right w:val="single" w:sz="6" w:space="0" w:color="BFBFBF" w:themeColor="background1" w:themeShade="BF"/>
            </w:tcBorders>
            <w:tcMar>
              <w:left w:w="105" w:type="dxa"/>
              <w:right w:w="105" w:type="dxa"/>
            </w:tcMar>
            <w:vAlign w:val="center"/>
          </w:tcPr>
          <w:p w14:paraId="4ACA29DF" w14:textId="7C6AB8DD" w:rsidR="77BE0170" w:rsidRDefault="77BE0170" w:rsidP="77BE0170">
            <w:pPr>
              <w:spacing w:after="0" w:line="240" w:lineRule="auto"/>
              <w:jc w:val="center"/>
              <w:rPr>
                <w:rFonts w:ascii="Calibri" w:eastAsia="Calibri" w:hAnsi="Calibri" w:cs="Calibri"/>
                <w:color w:val="000000" w:themeColor="text1"/>
                <w:sz w:val="18"/>
                <w:szCs w:val="18"/>
              </w:rPr>
            </w:pPr>
            <w:r w:rsidRPr="77BE0170">
              <w:rPr>
                <w:rFonts w:ascii="Calibri" w:eastAsia="Calibri" w:hAnsi="Calibri" w:cs="Calibri"/>
                <w:color w:val="000000" w:themeColor="text1"/>
                <w:sz w:val="18"/>
                <w:szCs w:val="18"/>
              </w:rPr>
              <w:t>-</w:t>
            </w:r>
          </w:p>
        </w:tc>
        <w:tc>
          <w:tcPr>
            <w:tcW w:w="705" w:type="dxa"/>
            <w:tcBorders>
              <w:top w:val="single" w:sz="6" w:space="0" w:color="A6A6A6" w:themeColor="background1" w:themeShade="A6"/>
              <w:left w:val="single" w:sz="6" w:space="0" w:color="BFBFBF" w:themeColor="background1" w:themeShade="BF"/>
              <w:bottom w:val="single" w:sz="6" w:space="0" w:color="BFBFBF" w:themeColor="background1" w:themeShade="BF"/>
              <w:right w:val="single" w:sz="6" w:space="0" w:color="BFBFBF" w:themeColor="background1" w:themeShade="BF"/>
            </w:tcBorders>
            <w:tcMar>
              <w:left w:w="105" w:type="dxa"/>
              <w:right w:w="105" w:type="dxa"/>
            </w:tcMar>
            <w:vAlign w:val="center"/>
          </w:tcPr>
          <w:p w14:paraId="3E301B59" w14:textId="531B568A" w:rsidR="77BE0170" w:rsidRDefault="77BE0170" w:rsidP="77BE0170">
            <w:pPr>
              <w:spacing w:after="0" w:line="240" w:lineRule="auto"/>
              <w:jc w:val="center"/>
              <w:rPr>
                <w:rFonts w:ascii="Calibri" w:eastAsia="Calibri" w:hAnsi="Calibri" w:cs="Calibri"/>
                <w:color w:val="000000" w:themeColor="text1"/>
                <w:sz w:val="18"/>
                <w:szCs w:val="18"/>
              </w:rPr>
            </w:pPr>
            <w:r w:rsidRPr="77BE0170">
              <w:rPr>
                <w:rFonts w:ascii="Calibri" w:eastAsia="Calibri" w:hAnsi="Calibri" w:cs="Calibri"/>
                <w:color w:val="000000" w:themeColor="text1"/>
                <w:sz w:val="18"/>
                <w:szCs w:val="18"/>
              </w:rPr>
              <w:t>-</w:t>
            </w:r>
          </w:p>
        </w:tc>
        <w:tc>
          <w:tcPr>
            <w:tcW w:w="705" w:type="dxa"/>
            <w:tcBorders>
              <w:top w:val="single" w:sz="6" w:space="0" w:color="A6A6A6" w:themeColor="background1" w:themeShade="A6"/>
              <w:left w:val="single" w:sz="6" w:space="0" w:color="BFBFBF" w:themeColor="background1" w:themeShade="BF"/>
              <w:bottom w:val="single" w:sz="6" w:space="0" w:color="BFBFBF" w:themeColor="background1" w:themeShade="BF"/>
              <w:right w:val="single" w:sz="6" w:space="0" w:color="BFBFBF" w:themeColor="background1" w:themeShade="BF"/>
            </w:tcBorders>
            <w:tcMar>
              <w:left w:w="105" w:type="dxa"/>
              <w:right w:w="105" w:type="dxa"/>
            </w:tcMar>
            <w:vAlign w:val="center"/>
          </w:tcPr>
          <w:p w14:paraId="4B4E6455" w14:textId="751A981C" w:rsidR="77BE0170" w:rsidRDefault="77BE0170" w:rsidP="77BE0170">
            <w:pPr>
              <w:spacing w:after="0" w:line="240" w:lineRule="auto"/>
              <w:jc w:val="center"/>
              <w:rPr>
                <w:rFonts w:ascii="Calibri" w:eastAsia="Calibri" w:hAnsi="Calibri" w:cs="Calibri"/>
                <w:color w:val="000000" w:themeColor="text1"/>
                <w:sz w:val="18"/>
                <w:szCs w:val="18"/>
              </w:rPr>
            </w:pPr>
            <w:r w:rsidRPr="77BE0170">
              <w:rPr>
                <w:rFonts w:ascii="Calibri" w:eastAsia="Calibri" w:hAnsi="Calibri" w:cs="Calibri"/>
                <w:color w:val="000000" w:themeColor="text1"/>
                <w:sz w:val="18"/>
                <w:szCs w:val="18"/>
              </w:rPr>
              <w:t>-</w:t>
            </w:r>
          </w:p>
        </w:tc>
        <w:tc>
          <w:tcPr>
            <w:tcW w:w="840" w:type="dxa"/>
            <w:tcBorders>
              <w:top w:val="single" w:sz="6" w:space="0" w:color="A6A6A6" w:themeColor="background1" w:themeShade="A6"/>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FAADB0"/>
            <w:tcMar>
              <w:left w:w="105" w:type="dxa"/>
              <w:right w:w="105" w:type="dxa"/>
            </w:tcMar>
            <w:vAlign w:val="center"/>
          </w:tcPr>
          <w:p w14:paraId="44D149A5" w14:textId="75915A74" w:rsidR="77BE0170" w:rsidRDefault="77BE0170" w:rsidP="77BE0170">
            <w:pPr>
              <w:spacing w:after="0" w:line="240" w:lineRule="auto"/>
              <w:jc w:val="center"/>
              <w:rPr>
                <w:rFonts w:ascii="Calibri" w:eastAsia="Calibri" w:hAnsi="Calibri" w:cs="Calibri"/>
                <w:color w:val="000000" w:themeColor="text1"/>
                <w:sz w:val="18"/>
                <w:szCs w:val="18"/>
              </w:rPr>
            </w:pPr>
            <w:r w:rsidRPr="77BE0170">
              <w:rPr>
                <w:rFonts w:ascii="Calibri" w:eastAsia="Calibri" w:hAnsi="Calibri" w:cs="Calibri"/>
                <w:color w:val="000000" w:themeColor="text1"/>
                <w:sz w:val="18"/>
                <w:szCs w:val="18"/>
                <w:lang w:val="en-GB"/>
              </w:rPr>
              <w:t>0.21</w:t>
            </w:r>
          </w:p>
        </w:tc>
        <w:tc>
          <w:tcPr>
            <w:tcW w:w="555" w:type="dxa"/>
            <w:tcBorders>
              <w:top w:val="single" w:sz="6" w:space="0" w:color="A6A6A6" w:themeColor="background1" w:themeShade="A6"/>
              <w:left w:val="single" w:sz="6" w:space="0" w:color="BFBFBF" w:themeColor="background1" w:themeShade="BF"/>
              <w:bottom w:val="single" w:sz="6" w:space="0" w:color="BFBFBF" w:themeColor="background1" w:themeShade="BF"/>
              <w:right w:val="single" w:sz="6" w:space="0" w:color="BFBFBF" w:themeColor="background1" w:themeShade="BF"/>
            </w:tcBorders>
            <w:tcMar>
              <w:left w:w="105" w:type="dxa"/>
              <w:right w:w="105" w:type="dxa"/>
            </w:tcMar>
            <w:vAlign w:val="center"/>
          </w:tcPr>
          <w:p w14:paraId="293D63A6" w14:textId="335434FE" w:rsidR="77BE0170" w:rsidRDefault="77BE0170" w:rsidP="77BE0170">
            <w:pPr>
              <w:spacing w:after="0" w:line="240" w:lineRule="auto"/>
              <w:jc w:val="center"/>
              <w:rPr>
                <w:rFonts w:ascii="Calibri" w:eastAsia="Calibri" w:hAnsi="Calibri" w:cs="Calibri"/>
                <w:color w:val="000000" w:themeColor="text1"/>
                <w:sz w:val="18"/>
                <w:szCs w:val="18"/>
              </w:rPr>
            </w:pPr>
            <w:r w:rsidRPr="77BE0170">
              <w:rPr>
                <w:rFonts w:ascii="Calibri" w:eastAsia="Calibri" w:hAnsi="Calibri" w:cs="Calibri"/>
                <w:color w:val="000000" w:themeColor="text1"/>
                <w:sz w:val="18"/>
                <w:szCs w:val="18"/>
              </w:rPr>
              <w:t>-</w:t>
            </w:r>
          </w:p>
        </w:tc>
        <w:tc>
          <w:tcPr>
            <w:tcW w:w="945" w:type="dxa"/>
            <w:tcBorders>
              <w:top w:val="single" w:sz="6" w:space="0" w:color="A6A6A6" w:themeColor="background1" w:themeShade="A6"/>
              <w:left w:val="single" w:sz="6" w:space="0" w:color="BFBFBF" w:themeColor="background1" w:themeShade="BF"/>
              <w:bottom w:val="single" w:sz="6" w:space="0" w:color="BFBFBF" w:themeColor="background1" w:themeShade="BF"/>
              <w:right w:val="single" w:sz="6" w:space="0" w:color="BFBFBF" w:themeColor="background1" w:themeShade="BF"/>
            </w:tcBorders>
            <w:tcMar>
              <w:left w:w="105" w:type="dxa"/>
              <w:right w:w="105" w:type="dxa"/>
            </w:tcMar>
            <w:vAlign w:val="center"/>
          </w:tcPr>
          <w:p w14:paraId="5619EE92" w14:textId="3280DE74" w:rsidR="77BE0170" w:rsidRDefault="77BE0170" w:rsidP="77BE0170">
            <w:pPr>
              <w:spacing w:after="0" w:line="240" w:lineRule="auto"/>
              <w:jc w:val="center"/>
              <w:rPr>
                <w:rFonts w:ascii="Calibri" w:eastAsia="Calibri" w:hAnsi="Calibri" w:cs="Calibri"/>
                <w:color w:val="000000" w:themeColor="text1"/>
                <w:sz w:val="18"/>
                <w:szCs w:val="18"/>
              </w:rPr>
            </w:pPr>
            <w:r w:rsidRPr="77BE0170">
              <w:rPr>
                <w:rFonts w:ascii="Calibri" w:eastAsia="Calibri" w:hAnsi="Calibri" w:cs="Calibri"/>
                <w:color w:val="000000" w:themeColor="text1"/>
                <w:sz w:val="18"/>
                <w:szCs w:val="18"/>
              </w:rPr>
              <w:t>-</w:t>
            </w:r>
          </w:p>
        </w:tc>
        <w:tc>
          <w:tcPr>
            <w:tcW w:w="690" w:type="dxa"/>
            <w:tcBorders>
              <w:top w:val="single" w:sz="6" w:space="0" w:color="A6A6A6" w:themeColor="background1" w:themeShade="A6"/>
              <w:left w:val="single" w:sz="6" w:space="0" w:color="BFBFBF" w:themeColor="background1" w:themeShade="BF"/>
              <w:bottom w:val="single" w:sz="6" w:space="0" w:color="BFBFBF" w:themeColor="background1" w:themeShade="BF"/>
              <w:right w:val="single" w:sz="6" w:space="0" w:color="BFBFBF" w:themeColor="background1" w:themeShade="BF"/>
            </w:tcBorders>
            <w:tcMar>
              <w:left w:w="105" w:type="dxa"/>
              <w:right w:w="105" w:type="dxa"/>
            </w:tcMar>
            <w:vAlign w:val="center"/>
          </w:tcPr>
          <w:p w14:paraId="5A877694" w14:textId="2587358A" w:rsidR="77BE0170" w:rsidRDefault="77BE0170" w:rsidP="77BE0170">
            <w:pPr>
              <w:spacing w:after="0" w:line="240" w:lineRule="auto"/>
              <w:jc w:val="center"/>
              <w:rPr>
                <w:rFonts w:ascii="Calibri" w:eastAsia="Calibri" w:hAnsi="Calibri" w:cs="Calibri"/>
                <w:color w:val="000000" w:themeColor="text1"/>
                <w:sz w:val="18"/>
                <w:szCs w:val="18"/>
              </w:rPr>
            </w:pPr>
            <w:r w:rsidRPr="77BE0170">
              <w:rPr>
                <w:rFonts w:ascii="Calibri" w:eastAsia="Calibri" w:hAnsi="Calibri" w:cs="Calibri"/>
                <w:color w:val="000000" w:themeColor="text1"/>
                <w:sz w:val="18"/>
                <w:szCs w:val="18"/>
              </w:rPr>
              <w:t>-</w:t>
            </w:r>
          </w:p>
        </w:tc>
        <w:tc>
          <w:tcPr>
            <w:tcW w:w="690" w:type="dxa"/>
            <w:tcBorders>
              <w:top w:val="single" w:sz="6" w:space="0" w:color="A6A6A6" w:themeColor="background1" w:themeShade="A6"/>
              <w:left w:val="single" w:sz="6" w:space="0" w:color="BFBFBF" w:themeColor="background1" w:themeShade="BF"/>
              <w:bottom w:val="single" w:sz="6" w:space="0" w:color="BFBFBF" w:themeColor="background1" w:themeShade="BF"/>
              <w:right w:val="single" w:sz="6" w:space="0" w:color="BFBFBF" w:themeColor="background1" w:themeShade="BF"/>
            </w:tcBorders>
            <w:tcMar>
              <w:left w:w="105" w:type="dxa"/>
              <w:right w:w="105" w:type="dxa"/>
            </w:tcMar>
            <w:vAlign w:val="center"/>
          </w:tcPr>
          <w:p w14:paraId="50D6FBEA" w14:textId="6057F104" w:rsidR="77BE0170" w:rsidRDefault="77BE0170" w:rsidP="77BE0170">
            <w:pPr>
              <w:spacing w:after="0" w:line="240" w:lineRule="auto"/>
              <w:jc w:val="center"/>
              <w:rPr>
                <w:rFonts w:ascii="Calibri" w:eastAsia="Calibri" w:hAnsi="Calibri" w:cs="Calibri"/>
                <w:color w:val="000000" w:themeColor="text1"/>
                <w:sz w:val="18"/>
                <w:szCs w:val="18"/>
              </w:rPr>
            </w:pPr>
            <w:r w:rsidRPr="77BE0170">
              <w:rPr>
                <w:rFonts w:ascii="Calibri" w:eastAsia="Calibri" w:hAnsi="Calibri" w:cs="Calibri"/>
                <w:color w:val="000000" w:themeColor="text1"/>
                <w:sz w:val="18"/>
                <w:szCs w:val="18"/>
              </w:rPr>
              <w:t>-</w:t>
            </w:r>
          </w:p>
        </w:tc>
      </w:tr>
      <w:tr w:rsidR="77BE0170" w14:paraId="02DA90B9" w14:textId="77777777" w:rsidTr="77BE0170">
        <w:trPr>
          <w:trHeight w:val="555"/>
        </w:trPr>
        <w:tc>
          <w:tcPr>
            <w:tcW w:w="840" w:type="dxa"/>
            <w:vMerge/>
            <w:tcBorders>
              <w:left w:val="single" w:sz="0" w:space="0" w:color="BFBFBF" w:themeColor="background1" w:themeShade="BF"/>
              <w:bottom w:val="single" w:sz="0" w:space="0" w:color="A6A6A6" w:themeColor="background1" w:themeShade="A6"/>
              <w:right w:val="single" w:sz="0" w:space="0" w:color="BFBFBF" w:themeColor="background1" w:themeShade="BF"/>
            </w:tcBorders>
            <w:vAlign w:val="center"/>
          </w:tcPr>
          <w:p w14:paraId="0EFBF9E9" w14:textId="77777777" w:rsidR="00C90369" w:rsidRDefault="00C90369"/>
        </w:tc>
        <w:tc>
          <w:tcPr>
            <w:tcW w:w="1125" w:type="dxa"/>
            <w:tcBorders>
              <w:top w:val="single" w:sz="6" w:space="0" w:color="BFBFBF" w:themeColor="background1" w:themeShade="BF"/>
              <w:left w:val="nil"/>
              <w:bottom w:val="single" w:sz="6" w:space="0" w:color="A6A6A6" w:themeColor="background1" w:themeShade="A6"/>
              <w:right w:val="single" w:sz="6" w:space="0" w:color="BFBFBF" w:themeColor="background1" w:themeShade="BF"/>
            </w:tcBorders>
            <w:tcMar>
              <w:left w:w="105" w:type="dxa"/>
              <w:right w:w="105" w:type="dxa"/>
            </w:tcMar>
            <w:vAlign w:val="center"/>
          </w:tcPr>
          <w:p w14:paraId="634A18EF" w14:textId="0B050878" w:rsidR="77BE0170" w:rsidRDefault="77BE0170" w:rsidP="77BE0170">
            <w:pPr>
              <w:spacing w:after="0" w:line="240" w:lineRule="auto"/>
              <w:jc w:val="center"/>
              <w:rPr>
                <w:rFonts w:ascii="Calibri" w:eastAsia="Calibri" w:hAnsi="Calibri" w:cs="Calibri"/>
                <w:color w:val="000000" w:themeColor="text1"/>
                <w:sz w:val="18"/>
                <w:szCs w:val="18"/>
              </w:rPr>
            </w:pPr>
            <w:r w:rsidRPr="77BE0170">
              <w:rPr>
                <w:rFonts w:ascii="Calibri" w:eastAsia="Calibri" w:hAnsi="Calibri" w:cs="Calibri"/>
                <w:color w:val="000000" w:themeColor="text1"/>
                <w:sz w:val="18"/>
                <w:szCs w:val="18"/>
                <w:lang w:val="en-GB"/>
              </w:rPr>
              <w:t>Δ Peak Time (min)</w:t>
            </w:r>
          </w:p>
        </w:tc>
        <w:tc>
          <w:tcPr>
            <w:tcW w:w="555" w:type="dxa"/>
            <w:tcBorders>
              <w:top w:val="single" w:sz="6" w:space="0" w:color="BFBFBF" w:themeColor="background1" w:themeShade="BF"/>
              <w:left w:val="single" w:sz="6" w:space="0" w:color="BFBFBF" w:themeColor="background1" w:themeShade="BF"/>
              <w:bottom w:val="single" w:sz="6" w:space="0" w:color="A6A6A6" w:themeColor="background1" w:themeShade="A6"/>
              <w:right w:val="single" w:sz="6" w:space="0" w:color="BFBFBF" w:themeColor="background1" w:themeShade="BF"/>
            </w:tcBorders>
            <w:tcMar>
              <w:left w:w="105" w:type="dxa"/>
              <w:right w:w="105" w:type="dxa"/>
            </w:tcMar>
            <w:vAlign w:val="center"/>
          </w:tcPr>
          <w:p w14:paraId="112B1EB4" w14:textId="72930CFB" w:rsidR="77BE0170" w:rsidRDefault="77BE0170" w:rsidP="77BE0170">
            <w:pPr>
              <w:spacing w:after="0" w:line="240" w:lineRule="auto"/>
              <w:jc w:val="center"/>
              <w:rPr>
                <w:rFonts w:ascii="Calibri" w:eastAsia="Calibri" w:hAnsi="Calibri" w:cs="Calibri"/>
                <w:color w:val="000000" w:themeColor="text1"/>
                <w:sz w:val="18"/>
                <w:szCs w:val="18"/>
              </w:rPr>
            </w:pPr>
            <w:r w:rsidRPr="77BE0170">
              <w:rPr>
                <w:rFonts w:ascii="Calibri" w:eastAsia="Calibri" w:hAnsi="Calibri" w:cs="Calibri"/>
                <w:color w:val="000000" w:themeColor="text1"/>
                <w:sz w:val="18"/>
                <w:szCs w:val="18"/>
                <w:lang w:val="en-GB"/>
              </w:rPr>
              <w:t>-</w:t>
            </w:r>
          </w:p>
        </w:tc>
        <w:tc>
          <w:tcPr>
            <w:tcW w:w="705" w:type="dxa"/>
            <w:tcBorders>
              <w:top w:val="single" w:sz="6" w:space="0" w:color="BFBFBF" w:themeColor="background1" w:themeShade="BF"/>
              <w:left w:val="single" w:sz="6" w:space="0" w:color="BFBFBF" w:themeColor="background1" w:themeShade="BF"/>
              <w:bottom w:val="single" w:sz="6" w:space="0" w:color="A6A6A6" w:themeColor="background1" w:themeShade="A6"/>
              <w:right w:val="single" w:sz="6" w:space="0" w:color="BFBFBF" w:themeColor="background1" w:themeShade="BF"/>
            </w:tcBorders>
            <w:tcMar>
              <w:left w:w="105" w:type="dxa"/>
              <w:right w:w="105" w:type="dxa"/>
            </w:tcMar>
            <w:vAlign w:val="center"/>
          </w:tcPr>
          <w:p w14:paraId="531B2C5B" w14:textId="51D4956B" w:rsidR="77BE0170" w:rsidRDefault="77BE0170" w:rsidP="77BE0170">
            <w:pPr>
              <w:spacing w:after="0" w:line="240" w:lineRule="auto"/>
              <w:jc w:val="center"/>
              <w:rPr>
                <w:rFonts w:ascii="Calibri" w:eastAsia="Calibri" w:hAnsi="Calibri" w:cs="Calibri"/>
                <w:color w:val="000000" w:themeColor="text1"/>
                <w:sz w:val="18"/>
                <w:szCs w:val="18"/>
              </w:rPr>
            </w:pPr>
            <w:r w:rsidRPr="77BE0170">
              <w:rPr>
                <w:rFonts w:ascii="Calibri" w:eastAsia="Calibri" w:hAnsi="Calibri" w:cs="Calibri"/>
                <w:color w:val="000000" w:themeColor="text1"/>
                <w:sz w:val="18"/>
                <w:szCs w:val="18"/>
                <w:lang w:val="en-GB"/>
              </w:rPr>
              <w:t>-</w:t>
            </w:r>
          </w:p>
        </w:tc>
        <w:tc>
          <w:tcPr>
            <w:tcW w:w="555" w:type="dxa"/>
            <w:tcBorders>
              <w:top w:val="single" w:sz="6" w:space="0" w:color="BFBFBF" w:themeColor="background1" w:themeShade="BF"/>
              <w:left w:val="single" w:sz="6" w:space="0" w:color="BFBFBF" w:themeColor="background1" w:themeShade="BF"/>
              <w:bottom w:val="single" w:sz="6" w:space="0" w:color="A6A6A6" w:themeColor="background1" w:themeShade="A6"/>
              <w:right w:val="single" w:sz="6" w:space="0" w:color="BFBFBF" w:themeColor="background1" w:themeShade="BF"/>
            </w:tcBorders>
            <w:tcMar>
              <w:left w:w="105" w:type="dxa"/>
              <w:right w:w="105" w:type="dxa"/>
            </w:tcMar>
            <w:vAlign w:val="center"/>
          </w:tcPr>
          <w:p w14:paraId="72A3DC50" w14:textId="3C7E67E5" w:rsidR="77BE0170" w:rsidRDefault="77BE0170" w:rsidP="77BE0170">
            <w:pPr>
              <w:spacing w:after="0" w:line="240" w:lineRule="auto"/>
              <w:jc w:val="center"/>
              <w:rPr>
                <w:rFonts w:ascii="Calibri" w:eastAsia="Calibri" w:hAnsi="Calibri" w:cs="Calibri"/>
                <w:color w:val="000000" w:themeColor="text1"/>
                <w:sz w:val="18"/>
                <w:szCs w:val="18"/>
              </w:rPr>
            </w:pPr>
            <w:r w:rsidRPr="77BE0170">
              <w:rPr>
                <w:rFonts w:ascii="Calibri" w:eastAsia="Calibri" w:hAnsi="Calibri" w:cs="Calibri"/>
                <w:color w:val="000000" w:themeColor="text1"/>
                <w:sz w:val="18"/>
                <w:szCs w:val="18"/>
                <w:lang w:val="en-GB"/>
              </w:rPr>
              <w:t>-</w:t>
            </w:r>
          </w:p>
        </w:tc>
        <w:tc>
          <w:tcPr>
            <w:tcW w:w="705" w:type="dxa"/>
            <w:tcBorders>
              <w:top w:val="single" w:sz="6" w:space="0" w:color="BFBFBF" w:themeColor="background1" w:themeShade="BF"/>
              <w:left w:val="single" w:sz="6" w:space="0" w:color="BFBFBF" w:themeColor="background1" w:themeShade="BF"/>
              <w:bottom w:val="single" w:sz="6" w:space="0" w:color="A6A6A6" w:themeColor="background1" w:themeShade="A6"/>
              <w:right w:val="single" w:sz="6" w:space="0" w:color="BFBFBF" w:themeColor="background1" w:themeShade="BF"/>
            </w:tcBorders>
            <w:tcMar>
              <w:left w:w="105" w:type="dxa"/>
              <w:right w:w="105" w:type="dxa"/>
            </w:tcMar>
            <w:vAlign w:val="center"/>
          </w:tcPr>
          <w:p w14:paraId="548BD94D" w14:textId="218B4117" w:rsidR="77BE0170" w:rsidRDefault="77BE0170" w:rsidP="77BE0170">
            <w:pPr>
              <w:spacing w:after="0" w:line="240" w:lineRule="auto"/>
              <w:jc w:val="center"/>
              <w:rPr>
                <w:rFonts w:ascii="Calibri" w:eastAsia="Calibri" w:hAnsi="Calibri" w:cs="Calibri"/>
                <w:color w:val="000000" w:themeColor="text1"/>
                <w:sz w:val="18"/>
                <w:szCs w:val="18"/>
              </w:rPr>
            </w:pPr>
            <w:r w:rsidRPr="77BE0170">
              <w:rPr>
                <w:rFonts w:ascii="Calibri" w:eastAsia="Calibri" w:hAnsi="Calibri" w:cs="Calibri"/>
                <w:color w:val="000000" w:themeColor="text1"/>
                <w:sz w:val="18"/>
                <w:szCs w:val="18"/>
                <w:lang w:val="en-GB"/>
              </w:rPr>
              <w:t>-</w:t>
            </w:r>
          </w:p>
        </w:tc>
        <w:tc>
          <w:tcPr>
            <w:tcW w:w="705" w:type="dxa"/>
            <w:tcBorders>
              <w:top w:val="single" w:sz="6" w:space="0" w:color="BFBFBF" w:themeColor="background1" w:themeShade="BF"/>
              <w:left w:val="single" w:sz="6" w:space="0" w:color="BFBFBF" w:themeColor="background1" w:themeShade="BF"/>
              <w:bottom w:val="single" w:sz="6" w:space="0" w:color="A6A6A6" w:themeColor="background1" w:themeShade="A6"/>
              <w:right w:val="single" w:sz="6" w:space="0" w:color="BFBFBF" w:themeColor="background1" w:themeShade="BF"/>
            </w:tcBorders>
            <w:tcMar>
              <w:left w:w="105" w:type="dxa"/>
              <w:right w:w="105" w:type="dxa"/>
            </w:tcMar>
            <w:vAlign w:val="center"/>
          </w:tcPr>
          <w:p w14:paraId="58CFAA1D" w14:textId="14C1604F" w:rsidR="77BE0170" w:rsidRDefault="77BE0170" w:rsidP="77BE0170">
            <w:pPr>
              <w:spacing w:after="0" w:line="240" w:lineRule="auto"/>
              <w:jc w:val="center"/>
              <w:rPr>
                <w:rFonts w:ascii="Calibri" w:eastAsia="Calibri" w:hAnsi="Calibri" w:cs="Calibri"/>
                <w:color w:val="000000" w:themeColor="text1"/>
                <w:sz w:val="18"/>
                <w:szCs w:val="18"/>
              </w:rPr>
            </w:pPr>
            <w:r w:rsidRPr="77BE0170">
              <w:rPr>
                <w:rFonts w:ascii="Calibri" w:eastAsia="Calibri" w:hAnsi="Calibri" w:cs="Calibri"/>
                <w:color w:val="000000" w:themeColor="text1"/>
                <w:sz w:val="18"/>
                <w:szCs w:val="18"/>
                <w:lang w:val="en-GB"/>
              </w:rPr>
              <w:t>-</w:t>
            </w:r>
          </w:p>
        </w:tc>
        <w:tc>
          <w:tcPr>
            <w:tcW w:w="840" w:type="dxa"/>
            <w:tcBorders>
              <w:top w:val="single" w:sz="6" w:space="0" w:color="BFBFBF" w:themeColor="background1" w:themeShade="BF"/>
              <w:left w:val="single" w:sz="6" w:space="0" w:color="BFBFBF" w:themeColor="background1" w:themeShade="BF"/>
              <w:bottom w:val="single" w:sz="6" w:space="0" w:color="A6A6A6" w:themeColor="background1" w:themeShade="A6"/>
              <w:right w:val="single" w:sz="6" w:space="0" w:color="BFBFBF" w:themeColor="background1" w:themeShade="BF"/>
            </w:tcBorders>
            <w:shd w:val="clear" w:color="auto" w:fill="FFF3CC"/>
            <w:tcMar>
              <w:left w:w="105" w:type="dxa"/>
              <w:right w:w="105" w:type="dxa"/>
            </w:tcMar>
            <w:vAlign w:val="center"/>
          </w:tcPr>
          <w:p w14:paraId="1DAAB85C" w14:textId="0ECC3A7B" w:rsidR="77BE0170" w:rsidRDefault="77BE0170" w:rsidP="77BE0170">
            <w:pPr>
              <w:spacing w:after="0" w:line="240" w:lineRule="auto"/>
              <w:jc w:val="center"/>
              <w:rPr>
                <w:rFonts w:ascii="Calibri" w:eastAsia="Calibri" w:hAnsi="Calibri" w:cs="Calibri"/>
                <w:color w:val="000000" w:themeColor="text1"/>
                <w:sz w:val="18"/>
                <w:szCs w:val="18"/>
              </w:rPr>
            </w:pPr>
            <w:r w:rsidRPr="77BE0170">
              <w:rPr>
                <w:rFonts w:ascii="Calibri" w:eastAsia="Calibri" w:hAnsi="Calibri" w:cs="Calibri"/>
                <w:color w:val="000000" w:themeColor="text1"/>
                <w:sz w:val="18"/>
                <w:szCs w:val="18"/>
                <w:lang w:val="en-GB"/>
              </w:rPr>
              <w:t>15</w:t>
            </w:r>
          </w:p>
        </w:tc>
        <w:tc>
          <w:tcPr>
            <w:tcW w:w="555" w:type="dxa"/>
            <w:tcBorders>
              <w:top w:val="single" w:sz="6" w:space="0" w:color="BFBFBF" w:themeColor="background1" w:themeShade="BF"/>
              <w:left w:val="single" w:sz="6" w:space="0" w:color="BFBFBF" w:themeColor="background1" w:themeShade="BF"/>
              <w:bottom w:val="single" w:sz="6" w:space="0" w:color="A6A6A6" w:themeColor="background1" w:themeShade="A6"/>
              <w:right w:val="single" w:sz="6" w:space="0" w:color="BFBFBF" w:themeColor="background1" w:themeShade="BF"/>
            </w:tcBorders>
            <w:tcMar>
              <w:left w:w="105" w:type="dxa"/>
              <w:right w:w="105" w:type="dxa"/>
            </w:tcMar>
            <w:vAlign w:val="center"/>
          </w:tcPr>
          <w:p w14:paraId="4E6A7FFA" w14:textId="4B7CFFBF" w:rsidR="77BE0170" w:rsidRDefault="77BE0170" w:rsidP="77BE0170">
            <w:pPr>
              <w:spacing w:after="0" w:line="240" w:lineRule="auto"/>
              <w:jc w:val="center"/>
              <w:rPr>
                <w:rFonts w:ascii="Calibri" w:eastAsia="Calibri" w:hAnsi="Calibri" w:cs="Calibri"/>
                <w:color w:val="000000" w:themeColor="text1"/>
                <w:sz w:val="18"/>
                <w:szCs w:val="18"/>
              </w:rPr>
            </w:pPr>
            <w:r w:rsidRPr="77BE0170">
              <w:rPr>
                <w:rFonts w:ascii="Calibri" w:eastAsia="Calibri" w:hAnsi="Calibri" w:cs="Calibri"/>
                <w:color w:val="000000" w:themeColor="text1"/>
                <w:sz w:val="18"/>
                <w:szCs w:val="18"/>
                <w:lang w:val="en-GB"/>
              </w:rPr>
              <w:t>-</w:t>
            </w:r>
          </w:p>
        </w:tc>
        <w:tc>
          <w:tcPr>
            <w:tcW w:w="945" w:type="dxa"/>
            <w:tcBorders>
              <w:top w:val="single" w:sz="6" w:space="0" w:color="BFBFBF" w:themeColor="background1" w:themeShade="BF"/>
              <w:left w:val="single" w:sz="6" w:space="0" w:color="BFBFBF" w:themeColor="background1" w:themeShade="BF"/>
              <w:bottom w:val="single" w:sz="6" w:space="0" w:color="A6A6A6" w:themeColor="background1" w:themeShade="A6"/>
              <w:right w:val="single" w:sz="6" w:space="0" w:color="BFBFBF" w:themeColor="background1" w:themeShade="BF"/>
            </w:tcBorders>
            <w:tcMar>
              <w:left w:w="105" w:type="dxa"/>
              <w:right w:w="105" w:type="dxa"/>
            </w:tcMar>
            <w:vAlign w:val="center"/>
          </w:tcPr>
          <w:p w14:paraId="665C0D8E" w14:textId="11765758" w:rsidR="77BE0170" w:rsidRDefault="77BE0170" w:rsidP="77BE0170">
            <w:pPr>
              <w:spacing w:after="0" w:line="240" w:lineRule="auto"/>
              <w:jc w:val="center"/>
              <w:rPr>
                <w:rFonts w:ascii="Calibri" w:eastAsia="Calibri" w:hAnsi="Calibri" w:cs="Calibri"/>
                <w:color w:val="000000" w:themeColor="text1"/>
                <w:sz w:val="18"/>
                <w:szCs w:val="18"/>
              </w:rPr>
            </w:pPr>
            <w:r w:rsidRPr="77BE0170">
              <w:rPr>
                <w:rFonts w:ascii="Calibri" w:eastAsia="Calibri" w:hAnsi="Calibri" w:cs="Calibri"/>
                <w:color w:val="000000" w:themeColor="text1"/>
                <w:sz w:val="18"/>
                <w:szCs w:val="18"/>
                <w:lang w:val="en-GB"/>
              </w:rPr>
              <w:t>-</w:t>
            </w:r>
          </w:p>
        </w:tc>
        <w:tc>
          <w:tcPr>
            <w:tcW w:w="690" w:type="dxa"/>
            <w:tcBorders>
              <w:top w:val="single" w:sz="6" w:space="0" w:color="BFBFBF" w:themeColor="background1" w:themeShade="BF"/>
              <w:left w:val="single" w:sz="6" w:space="0" w:color="BFBFBF" w:themeColor="background1" w:themeShade="BF"/>
              <w:bottom w:val="single" w:sz="6" w:space="0" w:color="A6A6A6" w:themeColor="background1" w:themeShade="A6"/>
              <w:right w:val="single" w:sz="6" w:space="0" w:color="BFBFBF" w:themeColor="background1" w:themeShade="BF"/>
            </w:tcBorders>
            <w:tcMar>
              <w:left w:w="105" w:type="dxa"/>
              <w:right w:w="105" w:type="dxa"/>
            </w:tcMar>
            <w:vAlign w:val="center"/>
          </w:tcPr>
          <w:p w14:paraId="1473D8EE" w14:textId="58D00F25" w:rsidR="77BE0170" w:rsidRDefault="77BE0170" w:rsidP="77BE0170">
            <w:pPr>
              <w:spacing w:after="0" w:line="240" w:lineRule="auto"/>
              <w:jc w:val="center"/>
              <w:rPr>
                <w:rFonts w:ascii="Calibri" w:eastAsia="Calibri" w:hAnsi="Calibri" w:cs="Calibri"/>
                <w:color w:val="000000" w:themeColor="text1"/>
                <w:sz w:val="18"/>
                <w:szCs w:val="18"/>
              </w:rPr>
            </w:pPr>
            <w:r w:rsidRPr="77BE0170">
              <w:rPr>
                <w:rFonts w:ascii="Calibri" w:eastAsia="Calibri" w:hAnsi="Calibri" w:cs="Calibri"/>
                <w:color w:val="000000" w:themeColor="text1"/>
                <w:sz w:val="18"/>
                <w:szCs w:val="18"/>
                <w:lang w:val="en-GB"/>
              </w:rPr>
              <w:t>-</w:t>
            </w:r>
          </w:p>
        </w:tc>
        <w:tc>
          <w:tcPr>
            <w:tcW w:w="690" w:type="dxa"/>
            <w:tcBorders>
              <w:top w:val="single" w:sz="6" w:space="0" w:color="BFBFBF" w:themeColor="background1" w:themeShade="BF"/>
              <w:left w:val="single" w:sz="6" w:space="0" w:color="BFBFBF" w:themeColor="background1" w:themeShade="BF"/>
              <w:bottom w:val="single" w:sz="6" w:space="0" w:color="A6A6A6" w:themeColor="background1" w:themeShade="A6"/>
              <w:right w:val="single" w:sz="6" w:space="0" w:color="BFBFBF" w:themeColor="background1" w:themeShade="BF"/>
            </w:tcBorders>
            <w:tcMar>
              <w:left w:w="105" w:type="dxa"/>
              <w:right w:w="105" w:type="dxa"/>
            </w:tcMar>
            <w:vAlign w:val="center"/>
          </w:tcPr>
          <w:p w14:paraId="5A2653F3" w14:textId="0B8E227E" w:rsidR="77BE0170" w:rsidRDefault="77BE0170" w:rsidP="77BE0170">
            <w:pPr>
              <w:spacing w:after="0" w:line="240" w:lineRule="auto"/>
              <w:jc w:val="center"/>
              <w:rPr>
                <w:rFonts w:ascii="Calibri" w:eastAsia="Calibri" w:hAnsi="Calibri" w:cs="Calibri"/>
                <w:color w:val="000000" w:themeColor="text1"/>
                <w:sz w:val="18"/>
                <w:szCs w:val="18"/>
              </w:rPr>
            </w:pPr>
            <w:r w:rsidRPr="77BE0170">
              <w:rPr>
                <w:rFonts w:ascii="Calibri" w:eastAsia="Calibri" w:hAnsi="Calibri" w:cs="Calibri"/>
                <w:color w:val="000000" w:themeColor="text1"/>
                <w:sz w:val="18"/>
                <w:szCs w:val="18"/>
                <w:lang w:val="en-GB"/>
              </w:rPr>
              <w:t>-</w:t>
            </w:r>
          </w:p>
        </w:tc>
      </w:tr>
      <w:tr w:rsidR="77BE0170" w14:paraId="42AEFD2D" w14:textId="77777777" w:rsidTr="77BE0170">
        <w:trPr>
          <w:trHeight w:val="555"/>
        </w:trPr>
        <w:tc>
          <w:tcPr>
            <w:tcW w:w="840" w:type="dxa"/>
            <w:vMerge w:val="restart"/>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Mar>
              <w:left w:w="105" w:type="dxa"/>
              <w:right w:w="105" w:type="dxa"/>
            </w:tcMar>
            <w:vAlign w:val="center"/>
          </w:tcPr>
          <w:p w14:paraId="287B2E32" w14:textId="44698BA8" w:rsidR="77BE0170" w:rsidRDefault="77BE0170" w:rsidP="77BE0170">
            <w:pPr>
              <w:spacing w:after="0" w:line="240" w:lineRule="auto"/>
              <w:jc w:val="center"/>
              <w:rPr>
                <w:rFonts w:ascii="Calibri" w:eastAsia="Calibri" w:hAnsi="Calibri" w:cs="Calibri"/>
                <w:color w:val="000000" w:themeColor="text1"/>
                <w:sz w:val="18"/>
                <w:szCs w:val="18"/>
              </w:rPr>
            </w:pPr>
            <w:r w:rsidRPr="77BE0170">
              <w:rPr>
                <w:rFonts w:ascii="Calibri" w:eastAsia="Calibri" w:hAnsi="Calibri" w:cs="Calibri"/>
                <w:b/>
                <w:bCs/>
                <w:color w:val="000000" w:themeColor="text1"/>
                <w:sz w:val="18"/>
                <w:szCs w:val="18"/>
                <w:lang w:val="en-GB"/>
              </w:rPr>
              <w:t>Storm Dudley</w:t>
            </w:r>
          </w:p>
        </w:tc>
        <w:tc>
          <w:tcPr>
            <w:tcW w:w="112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Mar>
              <w:left w:w="105" w:type="dxa"/>
              <w:right w:w="105" w:type="dxa"/>
            </w:tcMar>
            <w:vAlign w:val="center"/>
          </w:tcPr>
          <w:p w14:paraId="4B446E57" w14:textId="4AA5D2C3" w:rsidR="77BE0170" w:rsidRDefault="77BE0170" w:rsidP="77BE0170">
            <w:pPr>
              <w:spacing w:after="0" w:line="240" w:lineRule="auto"/>
              <w:jc w:val="center"/>
              <w:rPr>
                <w:rFonts w:ascii="Calibri" w:eastAsia="Calibri" w:hAnsi="Calibri" w:cs="Calibri"/>
                <w:color w:val="000000" w:themeColor="text1"/>
                <w:sz w:val="18"/>
                <w:szCs w:val="18"/>
              </w:rPr>
            </w:pPr>
            <w:r w:rsidRPr="77BE0170">
              <w:rPr>
                <w:rFonts w:ascii="Calibri" w:eastAsia="Calibri" w:hAnsi="Calibri" w:cs="Calibri"/>
                <w:color w:val="000000" w:themeColor="text1"/>
                <w:sz w:val="18"/>
                <w:szCs w:val="18"/>
                <w:lang w:val="en-GB"/>
              </w:rPr>
              <w:t>Δ Max TWLs (m)</w:t>
            </w:r>
          </w:p>
        </w:tc>
        <w:tc>
          <w:tcPr>
            <w:tcW w:w="55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Mar>
              <w:left w:w="105" w:type="dxa"/>
              <w:right w:w="105" w:type="dxa"/>
            </w:tcMar>
            <w:vAlign w:val="center"/>
          </w:tcPr>
          <w:p w14:paraId="3DAA3E23" w14:textId="29F8221F" w:rsidR="77BE0170" w:rsidRDefault="77BE0170" w:rsidP="77BE0170">
            <w:pPr>
              <w:spacing w:after="0" w:line="240" w:lineRule="auto"/>
              <w:jc w:val="center"/>
              <w:rPr>
                <w:rFonts w:ascii="Calibri" w:eastAsia="Calibri" w:hAnsi="Calibri" w:cs="Calibri"/>
                <w:color w:val="000000" w:themeColor="text1"/>
                <w:sz w:val="18"/>
                <w:szCs w:val="18"/>
              </w:rPr>
            </w:pPr>
            <w:r w:rsidRPr="77BE0170">
              <w:rPr>
                <w:rFonts w:ascii="Calibri" w:eastAsia="Calibri" w:hAnsi="Calibri" w:cs="Calibri"/>
                <w:color w:val="000000" w:themeColor="text1"/>
                <w:sz w:val="18"/>
                <w:szCs w:val="18"/>
                <w:lang w:val="en-GB"/>
              </w:rPr>
              <w:t>-</w:t>
            </w:r>
          </w:p>
        </w:tc>
        <w:tc>
          <w:tcPr>
            <w:tcW w:w="70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Mar>
              <w:left w:w="105" w:type="dxa"/>
              <w:right w:w="105" w:type="dxa"/>
            </w:tcMar>
            <w:vAlign w:val="center"/>
          </w:tcPr>
          <w:p w14:paraId="5C1C41D8" w14:textId="3E252485" w:rsidR="77BE0170" w:rsidRDefault="77BE0170" w:rsidP="77BE0170">
            <w:pPr>
              <w:spacing w:after="0" w:line="240" w:lineRule="auto"/>
              <w:jc w:val="center"/>
              <w:rPr>
                <w:rFonts w:ascii="Calibri" w:eastAsia="Calibri" w:hAnsi="Calibri" w:cs="Calibri"/>
                <w:color w:val="000000" w:themeColor="text1"/>
                <w:sz w:val="18"/>
                <w:szCs w:val="18"/>
              </w:rPr>
            </w:pPr>
            <w:r w:rsidRPr="77BE0170">
              <w:rPr>
                <w:rFonts w:ascii="Calibri" w:eastAsia="Calibri" w:hAnsi="Calibri" w:cs="Calibri"/>
                <w:color w:val="000000" w:themeColor="text1"/>
                <w:sz w:val="18"/>
                <w:szCs w:val="18"/>
                <w:lang w:val="en-GB"/>
              </w:rPr>
              <w:t>-</w:t>
            </w:r>
          </w:p>
        </w:tc>
        <w:tc>
          <w:tcPr>
            <w:tcW w:w="55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Mar>
              <w:left w:w="105" w:type="dxa"/>
              <w:right w:w="105" w:type="dxa"/>
            </w:tcMar>
            <w:vAlign w:val="center"/>
          </w:tcPr>
          <w:p w14:paraId="616E4DE6" w14:textId="65181849" w:rsidR="77BE0170" w:rsidRDefault="77BE0170" w:rsidP="77BE0170">
            <w:pPr>
              <w:spacing w:after="0" w:line="240" w:lineRule="auto"/>
              <w:jc w:val="center"/>
              <w:rPr>
                <w:rFonts w:ascii="Calibri" w:eastAsia="Calibri" w:hAnsi="Calibri" w:cs="Calibri"/>
                <w:color w:val="000000" w:themeColor="text1"/>
                <w:sz w:val="18"/>
                <w:szCs w:val="18"/>
              </w:rPr>
            </w:pPr>
            <w:r w:rsidRPr="77BE0170">
              <w:rPr>
                <w:rFonts w:ascii="Calibri" w:eastAsia="Calibri" w:hAnsi="Calibri" w:cs="Calibri"/>
                <w:color w:val="000000" w:themeColor="text1"/>
                <w:sz w:val="18"/>
                <w:szCs w:val="18"/>
                <w:lang w:val="en-GB"/>
              </w:rPr>
              <w:t>-</w:t>
            </w:r>
          </w:p>
        </w:tc>
        <w:tc>
          <w:tcPr>
            <w:tcW w:w="70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Mar>
              <w:left w:w="105" w:type="dxa"/>
              <w:right w:w="105" w:type="dxa"/>
            </w:tcMar>
            <w:vAlign w:val="center"/>
          </w:tcPr>
          <w:p w14:paraId="7CB75B9B" w14:textId="21CA75BE" w:rsidR="77BE0170" w:rsidRDefault="77BE0170" w:rsidP="77BE0170">
            <w:pPr>
              <w:spacing w:after="0" w:line="240" w:lineRule="auto"/>
              <w:jc w:val="center"/>
              <w:rPr>
                <w:rFonts w:ascii="Calibri" w:eastAsia="Calibri" w:hAnsi="Calibri" w:cs="Calibri"/>
                <w:color w:val="000000" w:themeColor="text1"/>
                <w:sz w:val="18"/>
                <w:szCs w:val="18"/>
              </w:rPr>
            </w:pPr>
            <w:r w:rsidRPr="77BE0170">
              <w:rPr>
                <w:rFonts w:ascii="Calibri" w:eastAsia="Calibri" w:hAnsi="Calibri" w:cs="Calibri"/>
                <w:color w:val="000000" w:themeColor="text1"/>
                <w:sz w:val="18"/>
                <w:szCs w:val="18"/>
                <w:lang w:val="en-GB"/>
              </w:rPr>
              <w:t>-</w:t>
            </w:r>
          </w:p>
        </w:tc>
        <w:tc>
          <w:tcPr>
            <w:tcW w:w="70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Mar>
              <w:left w:w="105" w:type="dxa"/>
              <w:right w:w="105" w:type="dxa"/>
            </w:tcMar>
            <w:vAlign w:val="center"/>
          </w:tcPr>
          <w:p w14:paraId="389516C4" w14:textId="076EB1BD" w:rsidR="77BE0170" w:rsidRDefault="77BE0170" w:rsidP="77BE0170">
            <w:pPr>
              <w:spacing w:after="0" w:line="240" w:lineRule="auto"/>
              <w:jc w:val="center"/>
              <w:rPr>
                <w:rFonts w:ascii="Calibri" w:eastAsia="Calibri" w:hAnsi="Calibri" w:cs="Calibri"/>
                <w:color w:val="000000" w:themeColor="text1"/>
                <w:sz w:val="18"/>
                <w:szCs w:val="18"/>
              </w:rPr>
            </w:pPr>
            <w:r w:rsidRPr="77BE0170">
              <w:rPr>
                <w:rFonts w:ascii="Calibri" w:eastAsia="Calibri" w:hAnsi="Calibri" w:cs="Calibri"/>
                <w:color w:val="000000" w:themeColor="text1"/>
                <w:sz w:val="18"/>
                <w:szCs w:val="18"/>
                <w:lang w:val="en-GB"/>
              </w:rPr>
              <w:t>-</w:t>
            </w:r>
          </w:p>
        </w:tc>
        <w:tc>
          <w:tcPr>
            <w:tcW w:w="840"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FBD1D3"/>
            <w:tcMar>
              <w:left w:w="105" w:type="dxa"/>
              <w:right w:w="105" w:type="dxa"/>
            </w:tcMar>
            <w:vAlign w:val="center"/>
          </w:tcPr>
          <w:p w14:paraId="108BDE49" w14:textId="60FCD843" w:rsidR="77BE0170" w:rsidRDefault="77BE0170" w:rsidP="77BE0170">
            <w:pPr>
              <w:spacing w:after="0" w:line="240" w:lineRule="auto"/>
              <w:jc w:val="center"/>
              <w:rPr>
                <w:rFonts w:ascii="Calibri" w:eastAsia="Calibri" w:hAnsi="Calibri" w:cs="Calibri"/>
                <w:color w:val="000000" w:themeColor="text1"/>
                <w:sz w:val="18"/>
                <w:szCs w:val="18"/>
              </w:rPr>
            </w:pPr>
            <w:r w:rsidRPr="77BE0170">
              <w:rPr>
                <w:rFonts w:ascii="Calibri" w:eastAsia="Calibri" w:hAnsi="Calibri" w:cs="Calibri"/>
                <w:color w:val="000000" w:themeColor="text1"/>
                <w:sz w:val="18"/>
                <w:szCs w:val="18"/>
                <w:lang w:val="en-GB"/>
              </w:rPr>
              <w:t>0.12</w:t>
            </w:r>
          </w:p>
        </w:tc>
        <w:tc>
          <w:tcPr>
            <w:tcW w:w="55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F8696B"/>
            <w:tcMar>
              <w:left w:w="105" w:type="dxa"/>
              <w:right w:w="105" w:type="dxa"/>
            </w:tcMar>
            <w:vAlign w:val="center"/>
          </w:tcPr>
          <w:p w14:paraId="30BCE45E" w14:textId="238DD508" w:rsidR="77BE0170" w:rsidRDefault="77BE0170" w:rsidP="77BE0170">
            <w:pPr>
              <w:spacing w:after="0" w:line="240" w:lineRule="auto"/>
              <w:jc w:val="center"/>
              <w:rPr>
                <w:rFonts w:ascii="Calibri" w:eastAsia="Calibri" w:hAnsi="Calibri" w:cs="Calibri"/>
                <w:color w:val="000000" w:themeColor="text1"/>
                <w:sz w:val="18"/>
                <w:szCs w:val="18"/>
              </w:rPr>
            </w:pPr>
            <w:r w:rsidRPr="77BE0170">
              <w:rPr>
                <w:rFonts w:ascii="Calibri" w:eastAsia="Calibri" w:hAnsi="Calibri" w:cs="Calibri"/>
                <w:color w:val="000000" w:themeColor="text1"/>
                <w:sz w:val="18"/>
                <w:szCs w:val="18"/>
                <w:lang w:val="en-GB"/>
              </w:rPr>
              <w:t>0.38</w:t>
            </w:r>
          </w:p>
        </w:tc>
        <w:tc>
          <w:tcPr>
            <w:tcW w:w="94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Mar>
              <w:left w:w="105" w:type="dxa"/>
              <w:right w:w="105" w:type="dxa"/>
            </w:tcMar>
            <w:vAlign w:val="center"/>
          </w:tcPr>
          <w:p w14:paraId="24C3E7BD" w14:textId="52584F53" w:rsidR="77BE0170" w:rsidRDefault="77BE0170" w:rsidP="77BE0170">
            <w:pPr>
              <w:spacing w:after="0" w:line="240" w:lineRule="auto"/>
              <w:jc w:val="center"/>
              <w:rPr>
                <w:rFonts w:ascii="Calibri" w:eastAsia="Calibri" w:hAnsi="Calibri" w:cs="Calibri"/>
                <w:color w:val="000000" w:themeColor="text1"/>
                <w:sz w:val="18"/>
                <w:szCs w:val="18"/>
              </w:rPr>
            </w:pPr>
            <w:r w:rsidRPr="77BE0170">
              <w:rPr>
                <w:rFonts w:ascii="Calibri" w:eastAsia="Calibri" w:hAnsi="Calibri" w:cs="Calibri"/>
                <w:color w:val="000000" w:themeColor="text1"/>
                <w:sz w:val="18"/>
                <w:szCs w:val="18"/>
                <w:lang w:val="en-GB"/>
              </w:rPr>
              <w:t>-</w:t>
            </w:r>
          </w:p>
        </w:tc>
        <w:tc>
          <w:tcPr>
            <w:tcW w:w="690"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Mar>
              <w:left w:w="105" w:type="dxa"/>
              <w:right w:w="105" w:type="dxa"/>
            </w:tcMar>
            <w:vAlign w:val="center"/>
          </w:tcPr>
          <w:p w14:paraId="66CF889E" w14:textId="383178C0" w:rsidR="77BE0170" w:rsidRDefault="77BE0170" w:rsidP="77BE0170">
            <w:pPr>
              <w:spacing w:after="0" w:line="240" w:lineRule="auto"/>
              <w:jc w:val="center"/>
              <w:rPr>
                <w:rFonts w:ascii="Calibri" w:eastAsia="Calibri" w:hAnsi="Calibri" w:cs="Calibri"/>
                <w:color w:val="000000" w:themeColor="text1"/>
                <w:sz w:val="18"/>
                <w:szCs w:val="18"/>
              </w:rPr>
            </w:pPr>
            <w:r w:rsidRPr="77BE0170">
              <w:rPr>
                <w:rFonts w:ascii="Calibri" w:eastAsia="Calibri" w:hAnsi="Calibri" w:cs="Calibri"/>
                <w:color w:val="000000" w:themeColor="text1"/>
                <w:sz w:val="18"/>
                <w:szCs w:val="18"/>
                <w:lang w:val="en-GB"/>
              </w:rPr>
              <w:t>-</w:t>
            </w:r>
          </w:p>
        </w:tc>
        <w:tc>
          <w:tcPr>
            <w:tcW w:w="690"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Mar>
              <w:left w:w="105" w:type="dxa"/>
              <w:right w:w="105" w:type="dxa"/>
            </w:tcMar>
            <w:vAlign w:val="center"/>
          </w:tcPr>
          <w:p w14:paraId="7867892D" w14:textId="1E111F94" w:rsidR="77BE0170" w:rsidRDefault="77BE0170" w:rsidP="77BE0170">
            <w:pPr>
              <w:spacing w:after="0" w:line="240" w:lineRule="auto"/>
              <w:jc w:val="center"/>
              <w:rPr>
                <w:rFonts w:ascii="Calibri" w:eastAsia="Calibri" w:hAnsi="Calibri" w:cs="Calibri"/>
                <w:color w:val="000000" w:themeColor="text1"/>
                <w:sz w:val="18"/>
                <w:szCs w:val="18"/>
              </w:rPr>
            </w:pPr>
            <w:r w:rsidRPr="77BE0170">
              <w:rPr>
                <w:rFonts w:ascii="Calibri" w:eastAsia="Calibri" w:hAnsi="Calibri" w:cs="Calibri"/>
                <w:color w:val="000000" w:themeColor="text1"/>
                <w:sz w:val="18"/>
                <w:szCs w:val="18"/>
                <w:lang w:val="en-GB"/>
              </w:rPr>
              <w:t>-</w:t>
            </w:r>
          </w:p>
        </w:tc>
      </w:tr>
      <w:tr w:rsidR="77BE0170" w14:paraId="5510482B" w14:textId="77777777" w:rsidTr="77BE0170">
        <w:trPr>
          <w:trHeight w:val="555"/>
        </w:trPr>
        <w:tc>
          <w:tcPr>
            <w:tcW w:w="840" w:type="dxa"/>
            <w:vMerge/>
            <w:tcBorders>
              <w:left w:val="single" w:sz="0" w:space="0" w:color="BFBFBF" w:themeColor="background1" w:themeShade="BF"/>
              <w:bottom w:val="single" w:sz="0" w:space="0" w:color="BFBFBF" w:themeColor="background1" w:themeShade="BF"/>
              <w:right w:val="single" w:sz="0" w:space="0" w:color="BFBFBF" w:themeColor="background1" w:themeShade="BF"/>
            </w:tcBorders>
            <w:vAlign w:val="center"/>
          </w:tcPr>
          <w:p w14:paraId="687E7F7A" w14:textId="77777777" w:rsidR="00C90369" w:rsidRDefault="00C90369"/>
        </w:tc>
        <w:tc>
          <w:tcPr>
            <w:tcW w:w="1125" w:type="dxa"/>
            <w:tcBorders>
              <w:top w:val="single" w:sz="6" w:space="0" w:color="BFBFBF" w:themeColor="background1" w:themeShade="BF"/>
              <w:left w:val="nil"/>
              <w:bottom w:val="single" w:sz="6" w:space="0" w:color="BFBFBF" w:themeColor="background1" w:themeShade="BF"/>
              <w:right w:val="single" w:sz="6" w:space="0" w:color="BFBFBF" w:themeColor="background1" w:themeShade="BF"/>
            </w:tcBorders>
            <w:tcMar>
              <w:left w:w="105" w:type="dxa"/>
              <w:right w:w="105" w:type="dxa"/>
            </w:tcMar>
            <w:vAlign w:val="center"/>
          </w:tcPr>
          <w:p w14:paraId="2A97D47D" w14:textId="1FF175C6" w:rsidR="77BE0170" w:rsidRDefault="77BE0170" w:rsidP="77BE0170">
            <w:pPr>
              <w:spacing w:after="0" w:line="240" w:lineRule="auto"/>
              <w:jc w:val="center"/>
              <w:rPr>
                <w:rFonts w:ascii="Calibri" w:eastAsia="Calibri" w:hAnsi="Calibri" w:cs="Calibri"/>
                <w:color w:val="000000" w:themeColor="text1"/>
                <w:sz w:val="18"/>
                <w:szCs w:val="18"/>
              </w:rPr>
            </w:pPr>
            <w:r w:rsidRPr="77BE0170">
              <w:rPr>
                <w:rFonts w:ascii="Calibri" w:eastAsia="Calibri" w:hAnsi="Calibri" w:cs="Calibri"/>
                <w:color w:val="000000" w:themeColor="text1"/>
                <w:sz w:val="18"/>
                <w:szCs w:val="18"/>
                <w:lang w:val="en-GB"/>
              </w:rPr>
              <w:t>Δ Peak Time (min)</w:t>
            </w:r>
          </w:p>
        </w:tc>
        <w:tc>
          <w:tcPr>
            <w:tcW w:w="55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Mar>
              <w:left w:w="105" w:type="dxa"/>
              <w:right w:w="105" w:type="dxa"/>
            </w:tcMar>
            <w:vAlign w:val="center"/>
          </w:tcPr>
          <w:p w14:paraId="2DA56E52" w14:textId="28955ACF" w:rsidR="77BE0170" w:rsidRDefault="77BE0170" w:rsidP="77BE0170">
            <w:pPr>
              <w:spacing w:after="0" w:line="240" w:lineRule="auto"/>
              <w:jc w:val="center"/>
              <w:rPr>
                <w:rFonts w:ascii="Calibri" w:eastAsia="Calibri" w:hAnsi="Calibri" w:cs="Calibri"/>
                <w:color w:val="000000" w:themeColor="text1"/>
                <w:sz w:val="18"/>
                <w:szCs w:val="18"/>
              </w:rPr>
            </w:pPr>
            <w:r w:rsidRPr="77BE0170">
              <w:rPr>
                <w:rFonts w:ascii="Calibri" w:eastAsia="Calibri" w:hAnsi="Calibri" w:cs="Calibri"/>
                <w:color w:val="000000" w:themeColor="text1"/>
                <w:sz w:val="18"/>
                <w:szCs w:val="18"/>
                <w:lang w:val="en-GB"/>
              </w:rPr>
              <w:t>-</w:t>
            </w:r>
          </w:p>
        </w:tc>
        <w:tc>
          <w:tcPr>
            <w:tcW w:w="70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Mar>
              <w:left w:w="105" w:type="dxa"/>
              <w:right w:w="105" w:type="dxa"/>
            </w:tcMar>
            <w:vAlign w:val="center"/>
          </w:tcPr>
          <w:p w14:paraId="082549FF" w14:textId="33D063D2" w:rsidR="77BE0170" w:rsidRDefault="77BE0170" w:rsidP="77BE0170">
            <w:pPr>
              <w:spacing w:after="0" w:line="240" w:lineRule="auto"/>
              <w:jc w:val="center"/>
              <w:rPr>
                <w:rFonts w:ascii="Calibri" w:eastAsia="Calibri" w:hAnsi="Calibri" w:cs="Calibri"/>
                <w:color w:val="000000" w:themeColor="text1"/>
                <w:sz w:val="18"/>
                <w:szCs w:val="18"/>
              </w:rPr>
            </w:pPr>
            <w:r w:rsidRPr="77BE0170">
              <w:rPr>
                <w:rFonts w:ascii="Calibri" w:eastAsia="Calibri" w:hAnsi="Calibri" w:cs="Calibri"/>
                <w:color w:val="000000" w:themeColor="text1"/>
                <w:sz w:val="18"/>
                <w:szCs w:val="18"/>
                <w:lang w:val="en-GB"/>
              </w:rPr>
              <w:t>-</w:t>
            </w:r>
          </w:p>
        </w:tc>
        <w:tc>
          <w:tcPr>
            <w:tcW w:w="55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Mar>
              <w:left w:w="105" w:type="dxa"/>
              <w:right w:w="105" w:type="dxa"/>
            </w:tcMar>
            <w:vAlign w:val="center"/>
          </w:tcPr>
          <w:p w14:paraId="479C6A5F" w14:textId="689E63ED" w:rsidR="77BE0170" w:rsidRDefault="77BE0170" w:rsidP="77BE0170">
            <w:pPr>
              <w:spacing w:after="0" w:line="240" w:lineRule="auto"/>
              <w:jc w:val="center"/>
              <w:rPr>
                <w:rFonts w:ascii="Calibri" w:eastAsia="Calibri" w:hAnsi="Calibri" w:cs="Calibri"/>
                <w:color w:val="000000" w:themeColor="text1"/>
                <w:sz w:val="18"/>
                <w:szCs w:val="18"/>
              </w:rPr>
            </w:pPr>
            <w:r w:rsidRPr="77BE0170">
              <w:rPr>
                <w:rFonts w:ascii="Calibri" w:eastAsia="Calibri" w:hAnsi="Calibri" w:cs="Calibri"/>
                <w:color w:val="000000" w:themeColor="text1"/>
                <w:sz w:val="18"/>
                <w:szCs w:val="18"/>
                <w:lang w:val="en-GB"/>
              </w:rPr>
              <w:t>-</w:t>
            </w:r>
          </w:p>
        </w:tc>
        <w:tc>
          <w:tcPr>
            <w:tcW w:w="70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Mar>
              <w:left w:w="105" w:type="dxa"/>
              <w:right w:w="105" w:type="dxa"/>
            </w:tcMar>
            <w:vAlign w:val="center"/>
          </w:tcPr>
          <w:p w14:paraId="158EA076" w14:textId="2C954286" w:rsidR="77BE0170" w:rsidRDefault="77BE0170" w:rsidP="77BE0170">
            <w:pPr>
              <w:spacing w:after="0" w:line="240" w:lineRule="auto"/>
              <w:jc w:val="center"/>
              <w:rPr>
                <w:rFonts w:ascii="Calibri" w:eastAsia="Calibri" w:hAnsi="Calibri" w:cs="Calibri"/>
                <w:color w:val="000000" w:themeColor="text1"/>
                <w:sz w:val="18"/>
                <w:szCs w:val="18"/>
              </w:rPr>
            </w:pPr>
            <w:r w:rsidRPr="77BE0170">
              <w:rPr>
                <w:rFonts w:ascii="Calibri" w:eastAsia="Calibri" w:hAnsi="Calibri" w:cs="Calibri"/>
                <w:color w:val="000000" w:themeColor="text1"/>
                <w:sz w:val="18"/>
                <w:szCs w:val="18"/>
                <w:lang w:val="en-GB"/>
              </w:rPr>
              <w:t>-</w:t>
            </w:r>
          </w:p>
        </w:tc>
        <w:tc>
          <w:tcPr>
            <w:tcW w:w="70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Mar>
              <w:left w:w="105" w:type="dxa"/>
              <w:right w:w="105" w:type="dxa"/>
            </w:tcMar>
            <w:vAlign w:val="center"/>
          </w:tcPr>
          <w:p w14:paraId="59B4D042" w14:textId="133C2409" w:rsidR="77BE0170" w:rsidRDefault="77BE0170" w:rsidP="77BE0170">
            <w:pPr>
              <w:spacing w:after="0" w:line="240" w:lineRule="auto"/>
              <w:jc w:val="center"/>
              <w:rPr>
                <w:rFonts w:ascii="Calibri" w:eastAsia="Calibri" w:hAnsi="Calibri" w:cs="Calibri"/>
                <w:color w:val="000000" w:themeColor="text1"/>
                <w:sz w:val="18"/>
                <w:szCs w:val="18"/>
              </w:rPr>
            </w:pPr>
            <w:r w:rsidRPr="77BE0170">
              <w:rPr>
                <w:rFonts w:ascii="Calibri" w:eastAsia="Calibri" w:hAnsi="Calibri" w:cs="Calibri"/>
                <w:color w:val="000000" w:themeColor="text1"/>
                <w:sz w:val="18"/>
                <w:szCs w:val="18"/>
                <w:lang w:val="en-GB"/>
              </w:rPr>
              <w:t>-</w:t>
            </w:r>
          </w:p>
        </w:tc>
        <w:tc>
          <w:tcPr>
            <w:tcW w:w="840"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Mar>
              <w:left w:w="105" w:type="dxa"/>
              <w:right w:w="105" w:type="dxa"/>
            </w:tcMar>
            <w:vAlign w:val="center"/>
          </w:tcPr>
          <w:p w14:paraId="223DEE92" w14:textId="5E128856" w:rsidR="77BE0170" w:rsidRDefault="77BE0170" w:rsidP="77BE0170">
            <w:pPr>
              <w:spacing w:after="0" w:line="240" w:lineRule="auto"/>
              <w:jc w:val="center"/>
              <w:rPr>
                <w:rFonts w:ascii="Calibri" w:eastAsia="Calibri" w:hAnsi="Calibri" w:cs="Calibri"/>
                <w:color w:val="000000" w:themeColor="text1"/>
                <w:sz w:val="18"/>
                <w:szCs w:val="18"/>
              </w:rPr>
            </w:pPr>
            <w:r w:rsidRPr="77BE0170">
              <w:rPr>
                <w:rFonts w:ascii="Calibri" w:eastAsia="Calibri" w:hAnsi="Calibri" w:cs="Calibri"/>
                <w:color w:val="000000" w:themeColor="text1"/>
                <w:sz w:val="18"/>
                <w:szCs w:val="18"/>
                <w:lang w:val="en-GB"/>
              </w:rPr>
              <w:t>30</w:t>
            </w:r>
          </w:p>
        </w:tc>
        <w:tc>
          <w:tcPr>
            <w:tcW w:w="55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Mar>
              <w:left w:w="105" w:type="dxa"/>
              <w:right w:w="105" w:type="dxa"/>
            </w:tcMar>
            <w:vAlign w:val="center"/>
          </w:tcPr>
          <w:p w14:paraId="4C79E382" w14:textId="697F9253" w:rsidR="77BE0170" w:rsidRDefault="77BE0170" w:rsidP="77BE0170">
            <w:pPr>
              <w:spacing w:after="0" w:line="240" w:lineRule="auto"/>
              <w:jc w:val="center"/>
              <w:rPr>
                <w:rFonts w:ascii="Calibri" w:eastAsia="Calibri" w:hAnsi="Calibri" w:cs="Calibri"/>
                <w:color w:val="000000" w:themeColor="text1"/>
                <w:sz w:val="18"/>
                <w:szCs w:val="18"/>
              </w:rPr>
            </w:pPr>
            <w:r w:rsidRPr="77BE0170">
              <w:rPr>
                <w:rFonts w:ascii="Calibri" w:eastAsia="Calibri" w:hAnsi="Calibri" w:cs="Calibri"/>
                <w:color w:val="000000" w:themeColor="text1"/>
                <w:sz w:val="18"/>
                <w:szCs w:val="18"/>
                <w:lang w:val="en-GB"/>
              </w:rPr>
              <w:t>15</w:t>
            </w:r>
          </w:p>
        </w:tc>
        <w:tc>
          <w:tcPr>
            <w:tcW w:w="94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Mar>
              <w:left w:w="105" w:type="dxa"/>
              <w:right w:w="105" w:type="dxa"/>
            </w:tcMar>
            <w:vAlign w:val="center"/>
          </w:tcPr>
          <w:p w14:paraId="41B9EF04" w14:textId="02FB60AD" w:rsidR="77BE0170" w:rsidRDefault="77BE0170" w:rsidP="77BE0170">
            <w:pPr>
              <w:spacing w:after="0" w:line="240" w:lineRule="auto"/>
              <w:jc w:val="center"/>
              <w:rPr>
                <w:rFonts w:ascii="Calibri" w:eastAsia="Calibri" w:hAnsi="Calibri" w:cs="Calibri"/>
                <w:color w:val="000000" w:themeColor="text1"/>
                <w:sz w:val="18"/>
                <w:szCs w:val="18"/>
              </w:rPr>
            </w:pPr>
            <w:r w:rsidRPr="77BE0170">
              <w:rPr>
                <w:rFonts w:ascii="Calibri" w:eastAsia="Calibri" w:hAnsi="Calibri" w:cs="Calibri"/>
                <w:color w:val="000000" w:themeColor="text1"/>
                <w:sz w:val="18"/>
                <w:szCs w:val="18"/>
                <w:lang w:val="en-GB"/>
              </w:rPr>
              <w:t>-</w:t>
            </w:r>
          </w:p>
        </w:tc>
        <w:tc>
          <w:tcPr>
            <w:tcW w:w="690"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Mar>
              <w:left w:w="105" w:type="dxa"/>
              <w:right w:w="105" w:type="dxa"/>
            </w:tcMar>
            <w:vAlign w:val="center"/>
          </w:tcPr>
          <w:p w14:paraId="32F502E6" w14:textId="0C99E5DC" w:rsidR="77BE0170" w:rsidRDefault="77BE0170" w:rsidP="77BE0170">
            <w:pPr>
              <w:spacing w:after="0" w:line="240" w:lineRule="auto"/>
              <w:jc w:val="center"/>
              <w:rPr>
                <w:rFonts w:ascii="Calibri" w:eastAsia="Calibri" w:hAnsi="Calibri" w:cs="Calibri"/>
                <w:color w:val="000000" w:themeColor="text1"/>
                <w:sz w:val="18"/>
                <w:szCs w:val="18"/>
              </w:rPr>
            </w:pPr>
            <w:r w:rsidRPr="77BE0170">
              <w:rPr>
                <w:rFonts w:ascii="Calibri" w:eastAsia="Calibri" w:hAnsi="Calibri" w:cs="Calibri"/>
                <w:color w:val="000000" w:themeColor="text1"/>
                <w:sz w:val="18"/>
                <w:szCs w:val="18"/>
                <w:lang w:val="en-GB"/>
              </w:rPr>
              <w:t>-</w:t>
            </w:r>
          </w:p>
        </w:tc>
        <w:tc>
          <w:tcPr>
            <w:tcW w:w="690"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Mar>
              <w:left w:w="105" w:type="dxa"/>
              <w:right w:w="105" w:type="dxa"/>
            </w:tcMar>
            <w:vAlign w:val="center"/>
          </w:tcPr>
          <w:p w14:paraId="387E8692" w14:textId="4426B703" w:rsidR="77BE0170" w:rsidRDefault="77BE0170" w:rsidP="77BE0170">
            <w:pPr>
              <w:spacing w:after="0" w:line="240" w:lineRule="auto"/>
              <w:jc w:val="center"/>
              <w:rPr>
                <w:rFonts w:ascii="Calibri" w:eastAsia="Calibri" w:hAnsi="Calibri" w:cs="Calibri"/>
                <w:color w:val="000000" w:themeColor="text1"/>
                <w:sz w:val="18"/>
                <w:szCs w:val="18"/>
              </w:rPr>
            </w:pPr>
            <w:r w:rsidRPr="77BE0170">
              <w:rPr>
                <w:rFonts w:ascii="Calibri" w:eastAsia="Calibri" w:hAnsi="Calibri" w:cs="Calibri"/>
                <w:color w:val="000000" w:themeColor="text1"/>
                <w:sz w:val="18"/>
                <w:szCs w:val="18"/>
                <w:lang w:val="en-GB"/>
              </w:rPr>
              <w:t>-</w:t>
            </w:r>
          </w:p>
        </w:tc>
      </w:tr>
      <w:tr w:rsidR="77BE0170" w14:paraId="27004762" w14:textId="77777777" w:rsidTr="77BE0170">
        <w:trPr>
          <w:trHeight w:val="555"/>
        </w:trPr>
        <w:tc>
          <w:tcPr>
            <w:tcW w:w="840" w:type="dxa"/>
            <w:vMerge w:val="restart"/>
            <w:tcBorders>
              <w:top w:val="single" w:sz="6" w:space="0" w:color="A6A6A6" w:themeColor="background1" w:themeShade="A6"/>
              <w:left w:val="single" w:sz="6" w:space="0" w:color="BFBFBF" w:themeColor="background1" w:themeShade="BF"/>
              <w:bottom w:val="single" w:sz="6" w:space="0" w:color="A6A6A6" w:themeColor="background1" w:themeShade="A6"/>
              <w:right w:val="single" w:sz="6" w:space="0" w:color="BFBFBF" w:themeColor="background1" w:themeShade="BF"/>
            </w:tcBorders>
            <w:tcMar>
              <w:left w:w="105" w:type="dxa"/>
              <w:right w:w="105" w:type="dxa"/>
            </w:tcMar>
            <w:vAlign w:val="center"/>
          </w:tcPr>
          <w:p w14:paraId="35BB7996" w14:textId="4682F6CA" w:rsidR="77BE0170" w:rsidRDefault="77BE0170" w:rsidP="77BE0170">
            <w:pPr>
              <w:spacing w:after="0" w:line="240" w:lineRule="auto"/>
              <w:jc w:val="center"/>
              <w:rPr>
                <w:rFonts w:ascii="Calibri" w:eastAsia="Calibri" w:hAnsi="Calibri" w:cs="Calibri"/>
                <w:color w:val="000000" w:themeColor="text1"/>
                <w:sz w:val="18"/>
                <w:szCs w:val="18"/>
              </w:rPr>
            </w:pPr>
            <w:r w:rsidRPr="77BE0170">
              <w:rPr>
                <w:rFonts w:ascii="Calibri" w:eastAsia="Calibri" w:hAnsi="Calibri" w:cs="Calibri"/>
                <w:b/>
                <w:bCs/>
                <w:color w:val="000000" w:themeColor="text1"/>
                <w:sz w:val="18"/>
                <w:szCs w:val="18"/>
                <w:lang w:val="en-GB"/>
              </w:rPr>
              <w:t>Storm Eunice</w:t>
            </w:r>
          </w:p>
        </w:tc>
        <w:tc>
          <w:tcPr>
            <w:tcW w:w="1125" w:type="dxa"/>
            <w:tcBorders>
              <w:top w:val="single" w:sz="6" w:space="0" w:color="A6A6A6" w:themeColor="background1" w:themeShade="A6"/>
              <w:left w:val="single" w:sz="6" w:space="0" w:color="BFBFBF" w:themeColor="background1" w:themeShade="BF"/>
              <w:bottom w:val="single" w:sz="6" w:space="0" w:color="BFBFBF" w:themeColor="background1" w:themeShade="BF"/>
              <w:right w:val="single" w:sz="6" w:space="0" w:color="BFBFBF" w:themeColor="background1" w:themeShade="BF"/>
            </w:tcBorders>
            <w:tcMar>
              <w:left w:w="105" w:type="dxa"/>
              <w:right w:w="105" w:type="dxa"/>
            </w:tcMar>
            <w:vAlign w:val="center"/>
          </w:tcPr>
          <w:p w14:paraId="62C2A926" w14:textId="0F021694" w:rsidR="77BE0170" w:rsidRDefault="77BE0170" w:rsidP="77BE0170">
            <w:pPr>
              <w:spacing w:after="0" w:line="240" w:lineRule="auto"/>
              <w:jc w:val="center"/>
              <w:rPr>
                <w:rFonts w:ascii="Calibri" w:eastAsia="Calibri" w:hAnsi="Calibri" w:cs="Calibri"/>
                <w:color w:val="000000" w:themeColor="text1"/>
                <w:sz w:val="18"/>
                <w:szCs w:val="18"/>
              </w:rPr>
            </w:pPr>
            <w:r w:rsidRPr="77BE0170">
              <w:rPr>
                <w:rFonts w:ascii="Calibri" w:eastAsia="Calibri" w:hAnsi="Calibri" w:cs="Calibri"/>
                <w:color w:val="000000" w:themeColor="text1"/>
                <w:sz w:val="18"/>
                <w:szCs w:val="18"/>
                <w:lang w:val="en-GB"/>
              </w:rPr>
              <w:t>Δ Max TWLs (m)</w:t>
            </w:r>
          </w:p>
        </w:tc>
        <w:tc>
          <w:tcPr>
            <w:tcW w:w="555" w:type="dxa"/>
            <w:tcBorders>
              <w:top w:val="single" w:sz="6" w:space="0" w:color="A6A6A6" w:themeColor="background1" w:themeShade="A6"/>
              <w:left w:val="single" w:sz="6" w:space="0" w:color="BFBFBF" w:themeColor="background1" w:themeShade="BF"/>
              <w:bottom w:val="single" w:sz="6" w:space="0" w:color="BFBFBF" w:themeColor="background1" w:themeShade="BF"/>
              <w:right w:val="single" w:sz="6" w:space="0" w:color="BFBFBF" w:themeColor="background1" w:themeShade="BF"/>
            </w:tcBorders>
            <w:tcMar>
              <w:left w:w="105" w:type="dxa"/>
              <w:right w:w="105" w:type="dxa"/>
            </w:tcMar>
            <w:vAlign w:val="center"/>
          </w:tcPr>
          <w:p w14:paraId="19ACCD33" w14:textId="0EFEA76A" w:rsidR="77BE0170" w:rsidRDefault="77BE0170" w:rsidP="77BE0170">
            <w:pPr>
              <w:spacing w:after="0" w:line="240" w:lineRule="auto"/>
              <w:jc w:val="center"/>
              <w:rPr>
                <w:rFonts w:ascii="Calibri" w:eastAsia="Calibri" w:hAnsi="Calibri" w:cs="Calibri"/>
                <w:color w:val="000000" w:themeColor="text1"/>
                <w:sz w:val="18"/>
                <w:szCs w:val="18"/>
              </w:rPr>
            </w:pPr>
            <w:r w:rsidRPr="77BE0170">
              <w:rPr>
                <w:rFonts w:ascii="Calibri" w:eastAsia="Calibri" w:hAnsi="Calibri" w:cs="Calibri"/>
                <w:color w:val="000000" w:themeColor="text1"/>
                <w:sz w:val="18"/>
                <w:szCs w:val="18"/>
              </w:rPr>
              <w:t>-</w:t>
            </w:r>
          </w:p>
        </w:tc>
        <w:tc>
          <w:tcPr>
            <w:tcW w:w="705" w:type="dxa"/>
            <w:tcBorders>
              <w:top w:val="single" w:sz="6" w:space="0" w:color="A6A6A6" w:themeColor="background1" w:themeShade="A6"/>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FA999B"/>
            <w:tcMar>
              <w:left w:w="105" w:type="dxa"/>
              <w:right w:w="105" w:type="dxa"/>
            </w:tcMar>
            <w:vAlign w:val="center"/>
          </w:tcPr>
          <w:p w14:paraId="756939BC" w14:textId="77F021DF" w:rsidR="77BE0170" w:rsidRDefault="77BE0170" w:rsidP="77BE0170">
            <w:pPr>
              <w:spacing w:after="0" w:line="240" w:lineRule="auto"/>
              <w:jc w:val="center"/>
              <w:rPr>
                <w:rFonts w:ascii="Calibri" w:eastAsia="Calibri" w:hAnsi="Calibri" w:cs="Calibri"/>
                <w:color w:val="000000" w:themeColor="text1"/>
                <w:sz w:val="18"/>
                <w:szCs w:val="18"/>
              </w:rPr>
            </w:pPr>
            <w:r w:rsidRPr="77BE0170">
              <w:rPr>
                <w:rFonts w:ascii="Calibri" w:eastAsia="Calibri" w:hAnsi="Calibri" w:cs="Calibri"/>
                <w:color w:val="000000" w:themeColor="text1"/>
                <w:sz w:val="18"/>
                <w:szCs w:val="18"/>
              </w:rPr>
              <w:t>0.26</w:t>
            </w:r>
          </w:p>
        </w:tc>
        <w:tc>
          <w:tcPr>
            <w:tcW w:w="555" w:type="dxa"/>
            <w:tcBorders>
              <w:top w:val="single" w:sz="6" w:space="0" w:color="A6A6A6" w:themeColor="background1" w:themeShade="A6"/>
              <w:left w:val="single" w:sz="6" w:space="0" w:color="BFBFBF" w:themeColor="background1" w:themeShade="BF"/>
              <w:bottom w:val="single" w:sz="6" w:space="0" w:color="BFBFBF" w:themeColor="background1" w:themeShade="BF"/>
              <w:right w:val="single" w:sz="6" w:space="0" w:color="BFBFBF" w:themeColor="background1" w:themeShade="BF"/>
            </w:tcBorders>
            <w:tcMar>
              <w:left w:w="105" w:type="dxa"/>
              <w:right w:w="105" w:type="dxa"/>
            </w:tcMar>
            <w:vAlign w:val="center"/>
          </w:tcPr>
          <w:p w14:paraId="691856C2" w14:textId="0B4392A0" w:rsidR="77BE0170" w:rsidRDefault="77BE0170" w:rsidP="77BE0170">
            <w:pPr>
              <w:spacing w:after="0" w:line="240" w:lineRule="auto"/>
              <w:jc w:val="center"/>
              <w:rPr>
                <w:rFonts w:ascii="Calibri" w:eastAsia="Calibri" w:hAnsi="Calibri" w:cs="Calibri"/>
                <w:color w:val="000000" w:themeColor="text1"/>
                <w:sz w:val="18"/>
                <w:szCs w:val="18"/>
              </w:rPr>
            </w:pPr>
            <w:r w:rsidRPr="77BE0170">
              <w:rPr>
                <w:rFonts w:ascii="Calibri" w:eastAsia="Calibri" w:hAnsi="Calibri" w:cs="Calibri"/>
                <w:color w:val="000000" w:themeColor="text1"/>
                <w:sz w:val="18"/>
                <w:szCs w:val="18"/>
              </w:rPr>
              <w:t>-</w:t>
            </w:r>
          </w:p>
        </w:tc>
        <w:tc>
          <w:tcPr>
            <w:tcW w:w="705" w:type="dxa"/>
            <w:tcBorders>
              <w:top w:val="single" w:sz="6" w:space="0" w:color="A6A6A6" w:themeColor="background1" w:themeShade="A6"/>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FAA5A7"/>
            <w:tcMar>
              <w:left w:w="105" w:type="dxa"/>
              <w:right w:w="105" w:type="dxa"/>
            </w:tcMar>
            <w:vAlign w:val="center"/>
          </w:tcPr>
          <w:p w14:paraId="0B54F7F6" w14:textId="32C506A3" w:rsidR="77BE0170" w:rsidRDefault="77BE0170" w:rsidP="77BE0170">
            <w:pPr>
              <w:spacing w:after="0" w:line="240" w:lineRule="auto"/>
              <w:jc w:val="center"/>
              <w:rPr>
                <w:rFonts w:ascii="Calibri" w:eastAsia="Calibri" w:hAnsi="Calibri" w:cs="Calibri"/>
                <w:color w:val="000000" w:themeColor="text1"/>
                <w:sz w:val="18"/>
                <w:szCs w:val="18"/>
              </w:rPr>
            </w:pPr>
            <w:r w:rsidRPr="77BE0170">
              <w:rPr>
                <w:rFonts w:ascii="Calibri" w:eastAsia="Calibri" w:hAnsi="Calibri" w:cs="Calibri"/>
                <w:color w:val="000000" w:themeColor="text1"/>
                <w:sz w:val="18"/>
                <w:szCs w:val="18"/>
              </w:rPr>
              <w:t>0.23</w:t>
            </w:r>
          </w:p>
        </w:tc>
        <w:tc>
          <w:tcPr>
            <w:tcW w:w="705" w:type="dxa"/>
            <w:tcBorders>
              <w:top w:val="single" w:sz="6" w:space="0" w:color="A6A6A6" w:themeColor="background1" w:themeShade="A6"/>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FAADB0"/>
            <w:tcMar>
              <w:left w:w="105" w:type="dxa"/>
              <w:right w:w="105" w:type="dxa"/>
            </w:tcMar>
            <w:vAlign w:val="center"/>
          </w:tcPr>
          <w:p w14:paraId="586F5EE3" w14:textId="6BFE265F" w:rsidR="77BE0170" w:rsidRDefault="77BE0170" w:rsidP="77BE0170">
            <w:pPr>
              <w:spacing w:after="0" w:line="240" w:lineRule="auto"/>
              <w:jc w:val="center"/>
              <w:rPr>
                <w:rFonts w:ascii="Calibri" w:eastAsia="Calibri" w:hAnsi="Calibri" w:cs="Calibri"/>
                <w:color w:val="000000" w:themeColor="text1"/>
                <w:sz w:val="18"/>
                <w:szCs w:val="18"/>
              </w:rPr>
            </w:pPr>
            <w:r w:rsidRPr="77BE0170">
              <w:rPr>
                <w:rFonts w:ascii="Calibri" w:eastAsia="Calibri" w:hAnsi="Calibri" w:cs="Calibri"/>
                <w:color w:val="000000" w:themeColor="text1"/>
                <w:sz w:val="18"/>
                <w:szCs w:val="18"/>
              </w:rPr>
              <w:t>0.21</w:t>
            </w:r>
          </w:p>
        </w:tc>
        <w:tc>
          <w:tcPr>
            <w:tcW w:w="840" w:type="dxa"/>
            <w:tcBorders>
              <w:top w:val="single" w:sz="6" w:space="0" w:color="A6A6A6" w:themeColor="background1" w:themeShade="A6"/>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FBB9BB"/>
            <w:tcMar>
              <w:left w:w="105" w:type="dxa"/>
              <w:right w:w="105" w:type="dxa"/>
            </w:tcMar>
            <w:vAlign w:val="center"/>
          </w:tcPr>
          <w:p w14:paraId="560188E9" w14:textId="05140789" w:rsidR="77BE0170" w:rsidRDefault="77BE0170" w:rsidP="77BE0170">
            <w:pPr>
              <w:spacing w:after="0" w:line="240" w:lineRule="auto"/>
              <w:jc w:val="center"/>
              <w:rPr>
                <w:rFonts w:ascii="Calibri" w:eastAsia="Calibri" w:hAnsi="Calibri" w:cs="Calibri"/>
                <w:color w:val="000000" w:themeColor="text1"/>
                <w:sz w:val="18"/>
                <w:szCs w:val="18"/>
              </w:rPr>
            </w:pPr>
            <w:r w:rsidRPr="77BE0170">
              <w:rPr>
                <w:rFonts w:ascii="Calibri" w:eastAsia="Calibri" w:hAnsi="Calibri" w:cs="Calibri"/>
                <w:color w:val="000000" w:themeColor="text1"/>
                <w:sz w:val="18"/>
                <w:szCs w:val="18"/>
                <w:lang w:val="en-GB"/>
              </w:rPr>
              <w:t>0.18</w:t>
            </w:r>
          </w:p>
        </w:tc>
        <w:tc>
          <w:tcPr>
            <w:tcW w:w="555" w:type="dxa"/>
            <w:tcBorders>
              <w:top w:val="single" w:sz="6" w:space="0" w:color="A6A6A6" w:themeColor="background1" w:themeShade="A6"/>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FBC9CB"/>
            <w:tcMar>
              <w:left w:w="105" w:type="dxa"/>
              <w:right w:w="105" w:type="dxa"/>
            </w:tcMar>
            <w:vAlign w:val="center"/>
          </w:tcPr>
          <w:p w14:paraId="2C7DD318" w14:textId="36F5577C" w:rsidR="77BE0170" w:rsidRDefault="77BE0170" w:rsidP="77BE0170">
            <w:pPr>
              <w:spacing w:after="0" w:line="240" w:lineRule="auto"/>
              <w:jc w:val="center"/>
              <w:rPr>
                <w:rFonts w:ascii="Calibri" w:eastAsia="Calibri" w:hAnsi="Calibri" w:cs="Calibri"/>
                <w:color w:val="000000" w:themeColor="text1"/>
                <w:sz w:val="18"/>
                <w:szCs w:val="18"/>
              </w:rPr>
            </w:pPr>
            <w:r w:rsidRPr="77BE0170">
              <w:rPr>
                <w:rFonts w:ascii="Calibri" w:eastAsia="Calibri" w:hAnsi="Calibri" w:cs="Calibri"/>
                <w:color w:val="000000" w:themeColor="text1"/>
                <w:sz w:val="18"/>
                <w:szCs w:val="18"/>
                <w:lang w:val="en-GB"/>
              </w:rPr>
              <w:t>0.14</w:t>
            </w:r>
          </w:p>
        </w:tc>
        <w:tc>
          <w:tcPr>
            <w:tcW w:w="945" w:type="dxa"/>
            <w:tcBorders>
              <w:top w:val="single" w:sz="6" w:space="0" w:color="A6A6A6" w:themeColor="background1" w:themeShade="A6"/>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FCF1F3"/>
            <w:tcMar>
              <w:left w:w="105" w:type="dxa"/>
              <w:right w:w="105" w:type="dxa"/>
            </w:tcMar>
            <w:vAlign w:val="center"/>
          </w:tcPr>
          <w:p w14:paraId="58FA0087" w14:textId="1D6E1173" w:rsidR="77BE0170" w:rsidRDefault="77BE0170" w:rsidP="77BE0170">
            <w:pPr>
              <w:spacing w:after="0" w:line="240" w:lineRule="auto"/>
              <w:jc w:val="center"/>
              <w:rPr>
                <w:rFonts w:ascii="Calibri" w:eastAsia="Calibri" w:hAnsi="Calibri" w:cs="Calibri"/>
                <w:color w:val="000000" w:themeColor="text1"/>
                <w:sz w:val="18"/>
                <w:szCs w:val="18"/>
              </w:rPr>
            </w:pPr>
            <w:r w:rsidRPr="77BE0170">
              <w:rPr>
                <w:rFonts w:ascii="Calibri" w:eastAsia="Calibri" w:hAnsi="Calibri" w:cs="Calibri"/>
                <w:color w:val="000000" w:themeColor="text1"/>
                <w:sz w:val="18"/>
                <w:szCs w:val="18"/>
              </w:rPr>
              <w:t>0.04</w:t>
            </w:r>
          </w:p>
        </w:tc>
        <w:tc>
          <w:tcPr>
            <w:tcW w:w="690" w:type="dxa"/>
            <w:tcBorders>
              <w:top w:val="single" w:sz="6" w:space="0" w:color="A6A6A6" w:themeColor="background1" w:themeShade="A6"/>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FAA5A7"/>
            <w:tcMar>
              <w:left w:w="105" w:type="dxa"/>
              <w:right w:w="105" w:type="dxa"/>
            </w:tcMar>
            <w:vAlign w:val="center"/>
          </w:tcPr>
          <w:p w14:paraId="50AC38AF" w14:textId="30F9F982" w:rsidR="77BE0170" w:rsidRDefault="77BE0170" w:rsidP="77BE0170">
            <w:pPr>
              <w:spacing w:after="0" w:line="240" w:lineRule="auto"/>
              <w:jc w:val="center"/>
              <w:rPr>
                <w:rFonts w:ascii="Calibri" w:eastAsia="Calibri" w:hAnsi="Calibri" w:cs="Calibri"/>
                <w:color w:val="000000" w:themeColor="text1"/>
                <w:sz w:val="18"/>
                <w:szCs w:val="18"/>
              </w:rPr>
            </w:pPr>
            <w:r w:rsidRPr="77BE0170">
              <w:rPr>
                <w:rFonts w:ascii="Calibri" w:eastAsia="Calibri" w:hAnsi="Calibri" w:cs="Calibri"/>
                <w:color w:val="000000" w:themeColor="text1"/>
                <w:sz w:val="18"/>
                <w:szCs w:val="18"/>
              </w:rPr>
              <w:t>0.23</w:t>
            </w:r>
          </w:p>
        </w:tc>
        <w:tc>
          <w:tcPr>
            <w:tcW w:w="690" w:type="dxa"/>
            <w:tcBorders>
              <w:top w:val="single" w:sz="6" w:space="0" w:color="A6A6A6" w:themeColor="background1" w:themeShade="A6"/>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FBC5C8"/>
            <w:tcMar>
              <w:left w:w="105" w:type="dxa"/>
              <w:right w:w="105" w:type="dxa"/>
            </w:tcMar>
            <w:vAlign w:val="center"/>
          </w:tcPr>
          <w:p w14:paraId="6C8EEB32" w14:textId="6D2EC16A" w:rsidR="77BE0170" w:rsidRDefault="77BE0170" w:rsidP="77BE0170">
            <w:pPr>
              <w:spacing w:after="0" w:line="240" w:lineRule="auto"/>
              <w:jc w:val="center"/>
              <w:rPr>
                <w:rFonts w:ascii="Calibri" w:eastAsia="Calibri" w:hAnsi="Calibri" w:cs="Calibri"/>
                <w:color w:val="000000" w:themeColor="text1"/>
                <w:sz w:val="18"/>
                <w:szCs w:val="18"/>
              </w:rPr>
            </w:pPr>
            <w:r w:rsidRPr="77BE0170">
              <w:rPr>
                <w:rFonts w:ascii="Calibri" w:eastAsia="Calibri" w:hAnsi="Calibri" w:cs="Calibri"/>
                <w:color w:val="000000" w:themeColor="text1"/>
                <w:sz w:val="18"/>
                <w:szCs w:val="18"/>
              </w:rPr>
              <w:t>0.15</w:t>
            </w:r>
          </w:p>
        </w:tc>
      </w:tr>
      <w:tr w:rsidR="77BE0170" w14:paraId="7038D004" w14:textId="77777777" w:rsidTr="77BE0170">
        <w:trPr>
          <w:trHeight w:val="555"/>
        </w:trPr>
        <w:tc>
          <w:tcPr>
            <w:tcW w:w="840" w:type="dxa"/>
            <w:vMerge/>
            <w:tcBorders>
              <w:left w:val="single" w:sz="0" w:space="0" w:color="BFBFBF" w:themeColor="background1" w:themeShade="BF"/>
              <w:bottom w:val="single" w:sz="0" w:space="0" w:color="A6A6A6" w:themeColor="background1" w:themeShade="A6"/>
              <w:right w:val="single" w:sz="0" w:space="0" w:color="BFBFBF" w:themeColor="background1" w:themeShade="BF"/>
            </w:tcBorders>
            <w:vAlign w:val="center"/>
          </w:tcPr>
          <w:p w14:paraId="713BB267" w14:textId="77777777" w:rsidR="00C90369" w:rsidRDefault="00C90369"/>
        </w:tc>
        <w:tc>
          <w:tcPr>
            <w:tcW w:w="1125" w:type="dxa"/>
            <w:tcBorders>
              <w:top w:val="single" w:sz="6" w:space="0" w:color="BFBFBF" w:themeColor="background1" w:themeShade="BF"/>
              <w:left w:val="nil"/>
              <w:bottom w:val="single" w:sz="6" w:space="0" w:color="A6A6A6" w:themeColor="background1" w:themeShade="A6"/>
              <w:right w:val="single" w:sz="6" w:space="0" w:color="BFBFBF" w:themeColor="background1" w:themeShade="BF"/>
            </w:tcBorders>
            <w:tcMar>
              <w:left w:w="105" w:type="dxa"/>
              <w:right w:w="105" w:type="dxa"/>
            </w:tcMar>
            <w:vAlign w:val="center"/>
          </w:tcPr>
          <w:p w14:paraId="54D89404" w14:textId="6082EED1" w:rsidR="77BE0170" w:rsidRDefault="77BE0170" w:rsidP="77BE0170">
            <w:pPr>
              <w:spacing w:after="0" w:line="240" w:lineRule="auto"/>
              <w:jc w:val="center"/>
              <w:rPr>
                <w:rFonts w:ascii="Calibri" w:eastAsia="Calibri" w:hAnsi="Calibri" w:cs="Calibri"/>
                <w:color w:val="000000" w:themeColor="text1"/>
                <w:sz w:val="18"/>
                <w:szCs w:val="18"/>
              </w:rPr>
            </w:pPr>
            <w:r w:rsidRPr="77BE0170">
              <w:rPr>
                <w:rFonts w:ascii="Calibri" w:eastAsia="Calibri" w:hAnsi="Calibri" w:cs="Calibri"/>
                <w:color w:val="000000" w:themeColor="text1"/>
                <w:sz w:val="18"/>
                <w:szCs w:val="18"/>
                <w:lang w:val="en-GB"/>
              </w:rPr>
              <w:t>Δ Peak Time (min)</w:t>
            </w:r>
          </w:p>
        </w:tc>
        <w:tc>
          <w:tcPr>
            <w:tcW w:w="555" w:type="dxa"/>
            <w:tcBorders>
              <w:top w:val="single" w:sz="6" w:space="0" w:color="BFBFBF" w:themeColor="background1" w:themeShade="BF"/>
              <w:left w:val="single" w:sz="6" w:space="0" w:color="BFBFBF" w:themeColor="background1" w:themeShade="BF"/>
              <w:bottom w:val="single" w:sz="6" w:space="0" w:color="A6A6A6" w:themeColor="background1" w:themeShade="A6"/>
              <w:right w:val="single" w:sz="6" w:space="0" w:color="BFBFBF" w:themeColor="background1" w:themeShade="BF"/>
            </w:tcBorders>
            <w:tcMar>
              <w:left w:w="105" w:type="dxa"/>
              <w:right w:w="105" w:type="dxa"/>
            </w:tcMar>
            <w:vAlign w:val="center"/>
          </w:tcPr>
          <w:p w14:paraId="327374F2" w14:textId="0E4C2C09" w:rsidR="77BE0170" w:rsidRDefault="77BE0170" w:rsidP="77BE0170">
            <w:pPr>
              <w:spacing w:after="0" w:line="240" w:lineRule="auto"/>
              <w:jc w:val="center"/>
              <w:rPr>
                <w:rFonts w:ascii="Calibri" w:eastAsia="Calibri" w:hAnsi="Calibri" w:cs="Calibri"/>
                <w:color w:val="000000" w:themeColor="text1"/>
                <w:sz w:val="18"/>
                <w:szCs w:val="18"/>
              </w:rPr>
            </w:pPr>
            <w:r w:rsidRPr="77BE0170">
              <w:rPr>
                <w:rFonts w:ascii="Calibri" w:eastAsia="Calibri" w:hAnsi="Calibri" w:cs="Calibri"/>
                <w:color w:val="000000" w:themeColor="text1"/>
                <w:sz w:val="18"/>
                <w:szCs w:val="18"/>
              </w:rPr>
              <w:t>-</w:t>
            </w:r>
          </w:p>
        </w:tc>
        <w:tc>
          <w:tcPr>
            <w:tcW w:w="705" w:type="dxa"/>
            <w:tcBorders>
              <w:top w:val="single" w:sz="6" w:space="0" w:color="BFBFBF" w:themeColor="background1" w:themeShade="BF"/>
              <w:left w:val="single" w:sz="6" w:space="0" w:color="BFBFBF" w:themeColor="background1" w:themeShade="BF"/>
              <w:bottom w:val="single" w:sz="6" w:space="0" w:color="A6A6A6" w:themeColor="background1" w:themeShade="A6"/>
              <w:right w:val="single" w:sz="6" w:space="0" w:color="BFBFBF" w:themeColor="background1" w:themeShade="BF"/>
            </w:tcBorders>
            <w:shd w:val="clear" w:color="auto" w:fill="FFCD33"/>
            <w:tcMar>
              <w:left w:w="105" w:type="dxa"/>
              <w:right w:w="105" w:type="dxa"/>
            </w:tcMar>
            <w:vAlign w:val="center"/>
          </w:tcPr>
          <w:p w14:paraId="689F9A61" w14:textId="28D46EF1" w:rsidR="77BE0170" w:rsidRDefault="77BE0170" w:rsidP="77BE0170">
            <w:pPr>
              <w:spacing w:after="0" w:line="240" w:lineRule="auto"/>
              <w:jc w:val="center"/>
              <w:rPr>
                <w:rFonts w:ascii="Calibri" w:eastAsia="Calibri" w:hAnsi="Calibri" w:cs="Calibri"/>
                <w:color w:val="000000" w:themeColor="text1"/>
                <w:sz w:val="18"/>
                <w:szCs w:val="18"/>
              </w:rPr>
            </w:pPr>
            <w:r w:rsidRPr="77BE0170">
              <w:rPr>
                <w:rFonts w:ascii="Calibri" w:eastAsia="Calibri" w:hAnsi="Calibri" w:cs="Calibri"/>
                <w:color w:val="000000" w:themeColor="text1"/>
                <w:sz w:val="18"/>
                <w:szCs w:val="18"/>
              </w:rPr>
              <w:t>60</w:t>
            </w:r>
          </w:p>
        </w:tc>
        <w:tc>
          <w:tcPr>
            <w:tcW w:w="555" w:type="dxa"/>
            <w:tcBorders>
              <w:top w:val="single" w:sz="6" w:space="0" w:color="BFBFBF" w:themeColor="background1" w:themeShade="BF"/>
              <w:left w:val="single" w:sz="6" w:space="0" w:color="BFBFBF" w:themeColor="background1" w:themeShade="BF"/>
              <w:bottom w:val="single" w:sz="6" w:space="0" w:color="A6A6A6" w:themeColor="background1" w:themeShade="A6"/>
              <w:right w:val="single" w:sz="6" w:space="0" w:color="BFBFBF" w:themeColor="background1" w:themeShade="BF"/>
            </w:tcBorders>
            <w:tcMar>
              <w:left w:w="105" w:type="dxa"/>
              <w:right w:w="105" w:type="dxa"/>
            </w:tcMar>
            <w:vAlign w:val="center"/>
          </w:tcPr>
          <w:p w14:paraId="6C54ABA8" w14:textId="6B95D043" w:rsidR="77BE0170" w:rsidRDefault="77BE0170" w:rsidP="77BE0170">
            <w:pPr>
              <w:spacing w:after="0" w:line="240" w:lineRule="auto"/>
              <w:jc w:val="center"/>
              <w:rPr>
                <w:rFonts w:ascii="Calibri" w:eastAsia="Calibri" w:hAnsi="Calibri" w:cs="Calibri"/>
                <w:color w:val="000000" w:themeColor="text1"/>
                <w:sz w:val="18"/>
                <w:szCs w:val="18"/>
              </w:rPr>
            </w:pPr>
            <w:r w:rsidRPr="77BE0170">
              <w:rPr>
                <w:rFonts w:ascii="Calibri" w:eastAsia="Calibri" w:hAnsi="Calibri" w:cs="Calibri"/>
                <w:color w:val="000000" w:themeColor="text1"/>
                <w:sz w:val="18"/>
                <w:szCs w:val="18"/>
              </w:rPr>
              <w:t>-</w:t>
            </w:r>
          </w:p>
        </w:tc>
        <w:tc>
          <w:tcPr>
            <w:tcW w:w="705" w:type="dxa"/>
            <w:tcBorders>
              <w:top w:val="single" w:sz="6" w:space="0" w:color="BFBFBF" w:themeColor="background1" w:themeShade="BF"/>
              <w:left w:val="single" w:sz="6" w:space="0" w:color="BFBFBF" w:themeColor="background1" w:themeShade="BF"/>
              <w:bottom w:val="single" w:sz="6" w:space="0" w:color="A6A6A6" w:themeColor="background1" w:themeShade="A6"/>
              <w:right w:val="single" w:sz="6" w:space="0" w:color="BFBFBF" w:themeColor="background1" w:themeShade="BF"/>
            </w:tcBorders>
            <w:shd w:val="clear" w:color="auto" w:fill="FFCD33"/>
            <w:tcMar>
              <w:left w:w="105" w:type="dxa"/>
              <w:right w:w="105" w:type="dxa"/>
            </w:tcMar>
            <w:vAlign w:val="center"/>
          </w:tcPr>
          <w:p w14:paraId="3F4CEACA" w14:textId="3C7AF1F1" w:rsidR="77BE0170" w:rsidRDefault="77BE0170" w:rsidP="77BE0170">
            <w:pPr>
              <w:spacing w:after="0" w:line="240" w:lineRule="auto"/>
              <w:jc w:val="center"/>
              <w:rPr>
                <w:rFonts w:ascii="Calibri" w:eastAsia="Calibri" w:hAnsi="Calibri" w:cs="Calibri"/>
                <w:color w:val="000000" w:themeColor="text1"/>
                <w:sz w:val="18"/>
                <w:szCs w:val="18"/>
              </w:rPr>
            </w:pPr>
            <w:r w:rsidRPr="77BE0170">
              <w:rPr>
                <w:rFonts w:ascii="Calibri" w:eastAsia="Calibri" w:hAnsi="Calibri" w:cs="Calibri"/>
                <w:color w:val="000000" w:themeColor="text1"/>
                <w:sz w:val="18"/>
                <w:szCs w:val="18"/>
              </w:rPr>
              <w:t>60</w:t>
            </w:r>
          </w:p>
        </w:tc>
        <w:tc>
          <w:tcPr>
            <w:tcW w:w="705" w:type="dxa"/>
            <w:tcBorders>
              <w:top w:val="single" w:sz="6" w:space="0" w:color="BFBFBF" w:themeColor="background1" w:themeShade="BF"/>
              <w:left w:val="single" w:sz="6" w:space="0" w:color="BFBFBF" w:themeColor="background1" w:themeShade="BF"/>
              <w:bottom w:val="single" w:sz="6" w:space="0" w:color="A6A6A6" w:themeColor="background1" w:themeShade="A6"/>
              <w:right w:val="single" w:sz="6" w:space="0" w:color="BFBFBF" w:themeColor="background1" w:themeShade="BF"/>
            </w:tcBorders>
            <w:shd w:val="clear" w:color="auto" w:fill="FFE699"/>
            <w:tcMar>
              <w:left w:w="105" w:type="dxa"/>
              <w:right w:w="105" w:type="dxa"/>
            </w:tcMar>
            <w:vAlign w:val="center"/>
          </w:tcPr>
          <w:p w14:paraId="5EED9675" w14:textId="485B15B9" w:rsidR="77BE0170" w:rsidRDefault="77BE0170" w:rsidP="77BE0170">
            <w:pPr>
              <w:spacing w:after="0" w:line="240" w:lineRule="auto"/>
              <w:jc w:val="center"/>
              <w:rPr>
                <w:rFonts w:ascii="Calibri" w:eastAsia="Calibri" w:hAnsi="Calibri" w:cs="Calibri"/>
                <w:color w:val="000000" w:themeColor="text1"/>
                <w:sz w:val="18"/>
                <w:szCs w:val="18"/>
              </w:rPr>
            </w:pPr>
            <w:r w:rsidRPr="77BE0170">
              <w:rPr>
                <w:rFonts w:ascii="Calibri" w:eastAsia="Calibri" w:hAnsi="Calibri" w:cs="Calibri"/>
                <w:color w:val="000000" w:themeColor="text1"/>
                <w:sz w:val="18"/>
                <w:szCs w:val="18"/>
              </w:rPr>
              <w:t>30</w:t>
            </w:r>
          </w:p>
        </w:tc>
        <w:tc>
          <w:tcPr>
            <w:tcW w:w="840" w:type="dxa"/>
            <w:tcBorders>
              <w:top w:val="single" w:sz="6" w:space="0" w:color="BFBFBF" w:themeColor="background1" w:themeShade="BF"/>
              <w:left w:val="single" w:sz="6" w:space="0" w:color="BFBFBF" w:themeColor="background1" w:themeShade="BF"/>
              <w:bottom w:val="single" w:sz="6" w:space="0" w:color="A6A6A6" w:themeColor="background1" w:themeShade="A6"/>
              <w:right w:val="single" w:sz="6" w:space="0" w:color="BFBFBF" w:themeColor="background1" w:themeShade="BF"/>
            </w:tcBorders>
            <w:shd w:val="clear" w:color="auto" w:fill="FFDA66"/>
            <w:tcMar>
              <w:left w:w="105" w:type="dxa"/>
              <w:right w:w="105" w:type="dxa"/>
            </w:tcMar>
            <w:vAlign w:val="center"/>
          </w:tcPr>
          <w:p w14:paraId="593D2320" w14:textId="79DA5896" w:rsidR="77BE0170" w:rsidRDefault="77BE0170" w:rsidP="77BE0170">
            <w:pPr>
              <w:spacing w:after="0" w:line="240" w:lineRule="auto"/>
              <w:jc w:val="center"/>
              <w:rPr>
                <w:rFonts w:ascii="Calibri" w:eastAsia="Calibri" w:hAnsi="Calibri" w:cs="Calibri"/>
                <w:color w:val="000000" w:themeColor="text1"/>
                <w:sz w:val="18"/>
                <w:szCs w:val="18"/>
              </w:rPr>
            </w:pPr>
            <w:r w:rsidRPr="77BE0170">
              <w:rPr>
                <w:rFonts w:ascii="Calibri" w:eastAsia="Calibri" w:hAnsi="Calibri" w:cs="Calibri"/>
                <w:color w:val="000000" w:themeColor="text1"/>
                <w:sz w:val="18"/>
                <w:szCs w:val="18"/>
                <w:lang w:val="en-GB"/>
              </w:rPr>
              <w:t>45</w:t>
            </w:r>
          </w:p>
        </w:tc>
        <w:tc>
          <w:tcPr>
            <w:tcW w:w="555" w:type="dxa"/>
            <w:tcBorders>
              <w:top w:val="single" w:sz="6" w:space="0" w:color="BFBFBF" w:themeColor="background1" w:themeShade="BF"/>
              <w:left w:val="single" w:sz="6" w:space="0" w:color="BFBFBF" w:themeColor="background1" w:themeShade="BF"/>
              <w:bottom w:val="single" w:sz="6" w:space="0" w:color="A6A6A6" w:themeColor="background1" w:themeShade="A6"/>
              <w:right w:val="single" w:sz="6" w:space="0" w:color="BFBFBF" w:themeColor="background1" w:themeShade="BF"/>
            </w:tcBorders>
            <w:shd w:val="clear" w:color="auto" w:fill="FFE699"/>
            <w:tcMar>
              <w:left w:w="105" w:type="dxa"/>
              <w:right w:w="105" w:type="dxa"/>
            </w:tcMar>
            <w:vAlign w:val="center"/>
          </w:tcPr>
          <w:p w14:paraId="65440FFF" w14:textId="2A3150D8" w:rsidR="77BE0170" w:rsidRDefault="77BE0170" w:rsidP="77BE0170">
            <w:pPr>
              <w:spacing w:after="0" w:line="240" w:lineRule="auto"/>
              <w:jc w:val="center"/>
              <w:rPr>
                <w:rFonts w:ascii="Calibri" w:eastAsia="Calibri" w:hAnsi="Calibri" w:cs="Calibri"/>
                <w:color w:val="000000" w:themeColor="text1"/>
                <w:sz w:val="18"/>
                <w:szCs w:val="18"/>
              </w:rPr>
            </w:pPr>
            <w:r w:rsidRPr="77BE0170">
              <w:rPr>
                <w:rFonts w:ascii="Calibri" w:eastAsia="Calibri" w:hAnsi="Calibri" w:cs="Calibri"/>
                <w:color w:val="000000" w:themeColor="text1"/>
                <w:sz w:val="18"/>
                <w:szCs w:val="18"/>
                <w:lang w:val="en-GB"/>
              </w:rPr>
              <w:t>30</w:t>
            </w:r>
          </w:p>
        </w:tc>
        <w:tc>
          <w:tcPr>
            <w:tcW w:w="945" w:type="dxa"/>
            <w:tcBorders>
              <w:top w:val="single" w:sz="6" w:space="0" w:color="BFBFBF" w:themeColor="background1" w:themeShade="BF"/>
              <w:left w:val="single" w:sz="6" w:space="0" w:color="BFBFBF" w:themeColor="background1" w:themeShade="BF"/>
              <w:bottom w:val="single" w:sz="6" w:space="0" w:color="A6A6A6" w:themeColor="background1" w:themeShade="A6"/>
              <w:right w:val="single" w:sz="6" w:space="0" w:color="BFBFBF" w:themeColor="background1" w:themeShade="BF"/>
            </w:tcBorders>
            <w:shd w:val="clear" w:color="auto" w:fill="FFF3CC"/>
            <w:tcMar>
              <w:left w:w="105" w:type="dxa"/>
              <w:right w:w="105" w:type="dxa"/>
            </w:tcMar>
            <w:vAlign w:val="center"/>
          </w:tcPr>
          <w:p w14:paraId="12AD0DC3" w14:textId="47C5621D" w:rsidR="77BE0170" w:rsidRDefault="77BE0170" w:rsidP="77BE0170">
            <w:pPr>
              <w:spacing w:after="0" w:line="240" w:lineRule="auto"/>
              <w:jc w:val="center"/>
              <w:rPr>
                <w:rFonts w:ascii="Calibri" w:eastAsia="Calibri" w:hAnsi="Calibri" w:cs="Calibri"/>
                <w:color w:val="000000" w:themeColor="text1"/>
                <w:sz w:val="18"/>
                <w:szCs w:val="18"/>
              </w:rPr>
            </w:pPr>
            <w:r w:rsidRPr="77BE0170">
              <w:rPr>
                <w:rFonts w:ascii="Calibri" w:eastAsia="Calibri" w:hAnsi="Calibri" w:cs="Calibri"/>
                <w:color w:val="000000" w:themeColor="text1"/>
                <w:sz w:val="18"/>
                <w:szCs w:val="18"/>
              </w:rPr>
              <w:t>15</w:t>
            </w:r>
          </w:p>
        </w:tc>
        <w:tc>
          <w:tcPr>
            <w:tcW w:w="690" w:type="dxa"/>
            <w:tcBorders>
              <w:top w:val="single" w:sz="6" w:space="0" w:color="BFBFBF" w:themeColor="background1" w:themeShade="BF"/>
              <w:left w:val="single" w:sz="6" w:space="0" w:color="BFBFBF" w:themeColor="background1" w:themeShade="BF"/>
              <w:bottom w:val="single" w:sz="6" w:space="0" w:color="A6A6A6" w:themeColor="background1" w:themeShade="A6"/>
              <w:right w:val="single" w:sz="6" w:space="0" w:color="BFBFBF" w:themeColor="background1" w:themeShade="BF"/>
            </w:tcBorders>
            <w:shd w:val="clear" w:color="auto" w:fill="FFF3CC"/>
            <w:tcMar>
              <w:left w:w="105" w:type="dxa"/>
              <w:right w:w="105" w:type="dxa"/>
            </w:tcMar>
            <w:vAlign w:val="center"/>
          </w:tcPr>
          <w:p w14:paraId="49246888" w14:textId="6AA24FD1" w:rsidR="77BE0170" w:rsidRDefault="77BE0170" w:rsidP="77BE0170">
            <w:pPr>
              <w:spacing w:after="0" w:line="240" w:lineRule="auto"/>
              <w:jc w:val="center"/>
              <w:rPr>
                <w:rFonts w:ascii="Calibri" w:eastAsia="Calibri" w:hAnsi="Calibri" w:cs="Calibri"/>
                <w:color w:val="000000" w:themeColor="text1"/>
                <w:sz w:val="18"/>
                <w:szCs w:val="18"/>
              </w:rPr>
            </w:pPr>
            <w:r w:rsidRPr="77BE0170">
              <w:rPr>
                <w:rFonts w:ascii="Calibri" w:eastAsia="Calibri" w:hAnsi="Calibri" w:cs="Calibri"/>
                <w:color w:val="000000" w:themeColor="text1"/>
                <w:sz w:val="18"/>
                <w:szCs w:val="18"/>
              </w:rPr>
              <w:t>15</w:t>
            </w:r>
          </w:p>
        </w:tc>
        <w:tc>
          <w:tcPr>
            <w:tcW w:w="690" w:type="dxa"/>
            <w:tcBorders>
              <w:top w:val="single" w:sz="6" w:space="0" w:color="BFBFBF" w:themeColor="background1" w:themeShade="BF"/>
              <w:left w:val="single" w:sz="6" w:space="0" w:color="BFBFBF" w:themeColor="background1" w:themeShade="BF"/>
              <w:bottom w:val="single" w:sz="6" w:space="0" w:color="A6A6A6" w:themeColor="background1" w:themeShade="A6"/>
              <w:right w:val="single" w:sz="6" w:space="0" w:color="BFBFBF" w:themeColor="background1" w:themeShade="BF"/>
            </w:tcBorders>
            <w:shd w:val="clear" w:color="auto" w:fill="FFF3CC"/>
            <w:tcMar>
              <w:left w:w="105" w:type="dxa"/>
              <w:right w:w="105" w:type="dxa"/>
            </w:tcMar>
            <w:vAlign w:val="center"/>
          </w:tcPr>
          <w:p w14:paraId="0659AF98" w14:textId="1D54E821" w:rsidR="77BE0170" w:rsidRDefault="77BE0170" w:rsidP="77BE0170">
            <w:pPr>
              <w:spacing w:after="0" w:line="240" w:lineRule="auto"/>
              <w:jc w:val="center"/>
              <w:rPr>
                <w:rFonts w:ascii="Calibri" w:eastAsia="Calibri" w:hAnsi="Calibri" w:cs="Calibri"/>
                <w:color w:val="000000" w:themeColor="text1"/>
                <w:sz w:val="18"/>
                <w:szCs w:val="18"/>
              </w:rPr>
            </w:pPr>
            <w:r w:rsidRPr="77BE0170">
              <w:rPr>
                <w:rFonts w:ascii="Calibri" w:eastAsia="Calibri" w:hAnsi="Calibri" w:cs="Calibri"/>
                <w:color w:val="000000" w:themeColor="text1"/>
                <w:sz w:val="18"/>
                <w:szCs w:val="18"/>
              </w:rPr>
              <w:t>15</w:t>
            </w:r>
          </w:p>
        </w:tc>
      </w:tr>
      <w:tr w:rsidR="77BE0170" w14:paraId="7BE8A059" w14:textId="77777777" w:rsidTr="77BE0170">
        <w:trPr>
          <w:trHeight w:val="555"/>
        </w:trPr>
        <w:tc>
          <w:tcPr>
            <w:tcW w:w="840" w:type="dxa"/>
            <w:vMerge w:val="restart"/>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Mar>
              <w:left w:w="105" w:type="dxa"/>
              <w:right w:w="105" w:type="dxa"/>
            </w:tcMar>
            <w:vAlign w:val="center"/>
          </w:tcPr>
          <w:p w14:paraId="642396F4" w14:textId="65D0255E" w:rsidR="77BE0170" w:rsidRDefault="77BE0170" w:rsidP="77BE0170">
            <w:pPr>
              <w:spacing w:after="0" w:line="240" w:lineRule="auto"/>
              <w:jc w:val="center"/>
              <w:rPr>
                <w:rFonts w:ascii="Calibri" w:eastAsia="Calibri" w:hAnsi="Calibri" w:cs="Calibri"/>
                <w:color w:val="000000" w:themeColor="text1"/>
                <w:sz w:val="18"/>
                <w:szCs w:val="18"/>
              </w:rPr>
            </w:pPr>
            <w:r w:rsidRPr="77BE0170">
              <w:rPr>
                <w:rFonts w:ascii="Calibri" w:eastAsia="Calibri" w:hAnsi="Calibri" w:cs="Calibri"/>
                <w:b/>
                <w:bCs/>
                <w:color w:val="000000" w:themeColor="text1"/>
                <w:sz w:val="18"/>
                <w:szCs w:val="18"/>
                <w:lang w:val="en-GB"/>
              </w:rPr>
              <w:t>Storm Franklin</w:t>
            </w:r>
          </w:p>
        </w:tc>
        <w:tc>
          <w:tcPr>
            <w:tcW w:w="112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Mar>
              <w:left w:w="105" w:type="dxa"/>
              <w:right w:w="105" w:type="dxa"/>
            </w:tcMar>
            <w:vAlign w:val="center"/>
          </w:tcPr>
          <w:p w14:paraId="0C0409E5" w14:textId="357F4F06" w:rsidR="77BE0170" w:rsidRDefault="77BE0170" w:rsidP="77BE0170">
            <w:pPr>
              <w:spacing w:after="0" w:line="240" w:lineRule="auto"/>
              <w:jc w:val="center"/>
              <w:rPr>
                <w:rFonts w:ascii="Calibri" w:eastAsia="Calibri" w:hAnsi="Calibri" w:cs="Calibri"/>
                <w:color w:val="000000" w:themeColor="text1"/>
                <w:sz w:val="18"/>
                <w:szCs w:val="18"/>
              </w:rPr>
            </w:pPr>
            <w:r w:rsidRPr="77BE0170">
              <w:rPr>
                <w:rFonts w:ascii="Calibri" w:eastAsia="Calibri" w:hAnsi="Calibri" w:cs="Calibri"/>
                <w:color w:val="000000" w:themeColor="text1"/>
                <w:sz w:val="18"/>
                <w:szCs w:val="18"/>
                <w:lang w:val="en-GB"/>
              </w:rPr>
              <w:t>Δ Max TWLs (m)</w:t>
            </w:r>
          </w:p>
        </w:tc>
        <w:tc>
          <w:tcPr>
            <w:tcW w:w="55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Mar>
              <w:left w:w="105" w:type="dxa"/>
              <w:right w:w="105" w:type="dxa"/>
            </w:tcMar>
            <w:vAlign w:val="center"/>
          </w:tcPr>
          <w:p w14:paraId="25A9607B" w14:textId="24BD927C" w:rsidR="77BE0170" w:rsidRDefault="77BE0170" w:rsidP="77BE0170">
            <w:pPr>
              <w:spacing w:after="0" w:line="240" w:lineRule="auto"/>
              <w:jc w:val="center"/>
              <w:rPr>
                <w:rFonts w:ascii="Calibri" w:eastAsia="Calibri" w:hAnsi="Calibri" w:cs="Calibri"/>
                <w:color w:val="000000" w:themeColor="text1"/>
                <w:sz w:val="18"/>
                <w:szCs w:val="18"/>
              </w:rPr>
            </w:pPr>
            <w:r w:rsidRPr="77BE0170">
              <w:rPr>
                <w:rFonts w:ascii="Calibri" w:eastAsia="Calibri" w:hAnsi="Calibri" w:cs="Calibri"/>
                <w:color w:val="000000" w:themeColor="text1"/>
                <w:sz w:val="18"/>
                <w:szCs w:val="18"/>
              </w:rPr>
              <w:t>-</w:t>
            </w:r>
          </w:p>
        </w:tc>
        <w:tc>
          <w:tcPr>
            <w:tcW w:w="70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Mar>
              <w:left w:w="105" w:type="dxa"/>
              <w:right w:w="105" w:type="dxa"/>
            </w:tcMar>
            <w:vAlign w:val="center"/>
          </w:tcPr>
          <w:p w14:paraId="5B0F4588" w14:textId="6A464CA4" w:rsidR="77BE0170" w:rsidRDefault="77BE0170" w:rsidP="77BE0170">
            <w:pPr>
              <w:spacing w:after="0" w:line="240" w:lineRule="auto"/>
              <w:jc w:val="center"/>
              <w:rPr>
                <w:rFonts w:ascii="Calibri" w:eastAsia="Calibri" w:hAnsi="Calibri" w:cs="Calibri"/>
                <w:color w:val="000000" w:themeColor="text1"/>
                <w:sz w:val="18"/>
                <w:szCs w:val="18"/>
              </w:rPr>
            </w:pPr>
            <w:r w:rsidRPr="77BE0170">
              <w:rPr>
                <w:rFonts w:ascii="Calibri" w:eastAsia="Calibri" w:hAnsi="Calibri" w:cs="Calibri"/>
                <w:color w:val="000000" w:themeColor="text1"/>
                <w:sz w:val="18"/>
                <w:szCs w:val="18"/>
              </w:rPr>
              <w:t>-</w:t>
            </w:r>
          </w:p>
        </w:tc>
        <w:tc>
          <w:tcPr>
            <w:tcW w:w="55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Mar>
              <w:left w:w="105" w:type="dxa"/>
              <w:right w:w="105" w:type="dxa"/>
            </w:tcMar>
            <w:vAlign w:val="center"/>
          </w:tcPr>
          <w:p w14:paraId="01BF99FE" w14:textId="1F9FE5DE" w:rsidR="77BE0170" w:rsidRDefault="77BE0170" w:rsidP="77BE0170">
            <w:pPr>
              <w:spacing w:after="0" w:line="240" w:lineRule="auto"/>
              <w:jc w:val="center"/>
              <w:rPr>
                <w:rFonts w:ascii="Calibri" w:eastAsia="Calibri" w:hAnsi="Calibri" w:cs="Calibri"/>
                <w:color w:val="000000" w:themeColor="text1"/>
                <w:sz w:val="18"/>
                <w:szCs w:val="18"/>
              </w:rPr>
            </w:pPr>
            <w:r w:rsidRPr="77BE0170">
              <w:rPr>
                <w:rFonts w:ascii="Calibri" w:eastAsia="Calibri" w:hAnsi="Calibri" w:cs="Calibri"/>
                <w:color w:val="000000" w:themeColor="text1"/>
                <w:sz w:val="18"/>
                <w:szCs w:val="18"/>
              </w:rPr>
              <w:t>-</w:t>
            </w:r>
          </w:p>
        </w:tc>
        <w:tc>
          <w:tcPr>
            <w:tcW w:w="70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FCFCFF"/>
            <w:tcMar>
              <w:left w:w="105" w:type="dxa"/>
              <w:right w:w="105" w:type="dxa"/>
            </w:tcMar>
            <w:vAlign w:val="center"/>
          </w:tcPr>
          <w:p w14:paraId="29366AA9" w14:textId="5584AEE5" w:rsidR="77BE0170" w:rsidRDefault="77BE0170" w:rsidP="77BE0170">
            <w:pPr>
              <w:spacing w:after="0" w:line="240" w:lineRule="auto"/>
              <w:jc w:val="center"/>
              <w:rPr>
                <w:rFonts w:ascii="Calibri" w:eastAsia="Calibri" w:hAnsi="Calibri" w:cs="Calibri"/>
                <w:color w:val="000000" w:themeColor="text1"/>
                <w:sz w:val="18"/>
                <w:szCs w:val="18"/>
              </w:rPr>
            </w:pPr>
            <w:r w:rsidRPr="77BE0170">
              <w:rPr>
                <w:rFonts w:ascii="Calibri" w:eastAsia="Calibri" w:hAnsi="Calibri" w:cs="Calibri"/>
                <w:color w:val="000000" w:themeColor="text1"/>
                <w:sz w:val="18"/>
                <w:szCs w:val="18"/>
              </w:rPr>
              <w:t>0.01</w:t>
            </w:r>
          </w:p>
        </w:tc>
        <w:tc>
          <w:tcPr>
            <w:tcW w:w="70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Mar>
              <w:left w:w="105" w:type="dxa"/>
              <w:right w:w="105" w:type="dxa"/>
            </w:tcMar>
            <w:vAlign w:val="center"/>
          </w:tcPr>
          <w:p w14:paraId="76B98178" w14:textId="717CD525" w:rsidR="77BE0170" w:rsidRDefault="77BE0170" w:rsidP="77BE0170">
            <w:pPr>
              <w:spacing w:after="0" w:line="240" w:lineRule="auto"/>
              <w:jc w:val="center"/>
              <w:rPr>
                <w:rFonts w:ascii="Calibri" w:eastAsia="Calibri" w:hAnsi="Calibri" w:cs="Calibri"/>
                <w:color w:val="000000" w:themeColor="text1"/>
                <w:sz w:val="18"/>
                <w:szCs w:val="18"/>
              </w:rPr>
            </w:pPr>
            <w:r w:rsidRPr="77BE0170">
              <w:rPr>
                <w:rFonts w:ascii="Calibri" w:eastAsia="Calibri" w:hAnsi="Calibri" w:cs="Calibri"/>
                <w:color w:val="000000" w:themeColor="text1"/>
                <w:sz w:val="18"/>
                <w:szCs w:val="18"/>
              </w:rPr>
              <w:t>-</w:t>
            </w:r>
          </w:p>
        </w:tc>
        <w:tc>
          <w:tcPr>
            <w:tcW w:w="840"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FCF5F8"/>
            <w:tcMar>
              <w:left w:w="105" w:type="dxa"/>
              <w:right w:w="105" w:type="dxa"/>
            </w:tcMar>
            <w:vAlign w:val="center"/>
          </w:tcPr>
          <w:p w14:paraId="001E3E11" w14:textId="45FC3E94" w:rsidR="77BE0170" w:rsidRDefault="77BE0170" w:rsidP="77BE0170">
            <w:pPr>
              <w:spacing w:after="0" w:line="240" w:lineRule="auto"/>
              <w:jc w:val="center"/>
              <w:rPr>
                <w:rFonts w:ascii="Calibri" w:eastAsia="Calibri" w:hAnsi="Calibri" w:cs="Calibri"/>
                <w:color w:val="000000" w:themeColor="text1"/>
                <w:sz w:val="18"/>
                <w:szCs w:val="18"/>
              </w:rPr>
            </w:pPr>
            <w:r w:rsidRPr="77BE0170">
              <w:rPr>
                <w:rFonts w:ascii="Calibri" w:eastAsia="Calibri" w:hAnsi="Calibri" w:cs="Calibri"/>
                <w:color w:val="000000" w:themeColor="text1"/>
                <w:sz w:val="18"/>
                <w:szCs w:val="18"/>
                <w:lang w:val="en-GB"/>
              </w:rPr>
              <w:t>0.03</w:t>
            </w:r>
          </w:p>
        </w:tc>
        <w:tc>
          <w:tcPr>
            <w:tcW w:w="55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FCD9DB"/>
            <w:tcMar>
              <w:left w:w="105" w:type="dxa"/>
              <w:right w:w="105" w:type="dxa"/>
            </w:tcMar>
            <w:vAlign w:val="center"/>
          </w:tcPr>
          <w:p w14:paraId="5B35AF1F" w14:textId="37482EE2" w:rsidR="77BE0170" w:rsidRDefault="77BE0170" w:rsidP="77BE0170">
            <w:pPr>
              <w:spacing w:after="0" w:line="240" w:lineRule="auto"/>
              <w:jc w:val="center"/>
              <w:rPr>
                <w:rFonts w:ascii="Calibri" w:eastAsia="Calibri" w:hAnsi="Calibri" w:cs="Calibri"/>
                <w:color w:val="000000" w:themeColor="text1"/>
                <w:sz w:val="18"/>
                <w:szCs w:val="18"/>
              </w:rPr>
            </w:pPr>
            <w:r w:rsidRPr="77BE0170">
              <w:rPr>
                <w:rFonts w:ascii="Calibri" w:eastAsia="Calibri" w:hAnsi="Calibri" w:cs="Calibri"/>
                <w:color w:val="000000" w:themeColor="text1"/>
                <w:sz w:val="18"/>
                <w:szCs w:val="18"/>
                <w:lang w:val="en-GB"/>
              </w:rPr>
              <w:t>0.1</w:t>
            </w:r>
          </w:p>
        </w:tc>
        <w:tc>
          <w:tcPr>
            <w:tcW w:w="94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Mar>
              <w:left w:w="105" w:type="dxa"/>
              <w:right w:w="105" w:type="dxa"/>
            </w:tcMar>
            <w:vAlign w:val="center"/>
          </w:tcPr>
          <w:p w14:paraId="2EF6B64E" w14:textId="2BBE82F8" w:rsidR="77BE0170" w:rsidRDefault="77BE0170" w:rsidP="77BE0170">
            <w:pPr>
              <w:spacing w:after="0" w:line="240" w:lineRule="auto"/>
              <w:jc w:val="center"/>
              <w:rPr>
                <w:rFonts w:ascii="Calibri" w:eastAsia="Calibri" w:hAnsi="Calibri" w:cs="Calibri"/>
                <w:color w:val="000000" w:themeColor="text1"/>
                <w:sz w:val="18"/>
                <w:szCs w:val="18"/>
              </w:rPr>
            </w:pPr>
            <w:r w:rsidRPr="77BE0170">
              <w:rPr>
                <w:rFonts w:ascii="Calibri" w:eastAsia="Calibri" w:hAnsi="Calibri" w:cs="Calibri"/>
                <w:color w:val="000000" w:themeColor="text1"/>
                <w:sz w:val="18"/>
                <w:szCs w:val="18"/>
              </w:rPr>
              <w:t>-</w:t>
            </w:r>
          </w:p>
        </w:tc>
        <w:tc>
          <w:tcPr>
            <w:tcW w:w="690"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Mar>
              <w:left w:w="105" w:type="dxa"/>
              <w:right w:w="105" w:type="dxa"/>
            </w:tcMar>
            <w:vAlign w:val="center"/>
          </w:tcPr>
          <w:p w14:paraId="460795B8" w14:textId="33C7A56A" w:rsidR="77BE0170" w:rsidRDefault="77BE0170" w:rsidP="77BE0170">
            <w:pPr>
              <w:spacing w:after="0" w:line="240" w:lineRule="auto"/>
              <w:jc w:val="center"/>
              <w:rPr>
                <w:rFonts w:ascii="Calibri" w:eastAsia="Calibri" w:hAnsi="Calibri" w:cs="Calibri"/>
                <w:color w:val="000000" w:themeColor="text1"/>
                <w:sz w:val="18"/>
                <w:szCs w:val="18"/>
              </w:rPr>
            </w:pPr>
            <w:r w:rsidRPr="77BE0170">
              <w:rPr>
                <w:rFonts w:ascii="Calibri" w:eastAsia="Calibri" w:hAnsi="Calibri" w:cs="Calibri"/>
                <w:color w:val="000000" w:themeColor="text1"/>
                <w:sz w:val="18"/>
                <w:szCs w:val="18"/>
              </w:rPr>
              <w:t>-</w:t>
            </w:r>
          </w:p>
        </w:tc>
        <w:tc>
          <w:tcPr>
            <w:tcW w:w="690"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Mar>
              <w:left w:w="105" w:type="dxa"/>
              <w:right w:w="105" w:type="dxa"/>
            </w:tcMar>
            <w:vAlign w:val="center"/>
          </w:tcPr>
          <w:p w14:paraId="32BE0F19" w14:textId="7E694B4C" w:rsidR="77BE0170" w:rsidRDefault="77BE0170" w:rsidP="77BE0170">
            <w:pPr>
              <w:spacing w:after="0" w:line="240" w:lineRule="auto"/>
              <w:jc w:val="center"/>
              <w:rPr>
                <w:rFonts w:ascii="Calibri" w:eastAsia="Calibri" w:hAnsi="Calibri" w:cs="Calibri"/>
                <w:color w:val="000000" w:themeColor="text1"/>
                <w:sz w:val="18"/>
                <w:szCs w:val="18"/>
              </w:rPr>
            </w:pPr>
            <w:r w:rsidRPr="77BE0170">
              <w:rPr>
                <w:rFonts w:ascii="Calibri" w:eastAsia="Calibri" w:hAnsi="Calibri" w:cs="Calibri"/>
                <w:color w:val="000000" w:themeColor="text1"/>
                <w:sz w:val="18"/>
                <w:szCs w:val="18"/>
              </w:rPr>
              <w:t>-</w:t>
            </w:r>
          </w:p>
        </w:tc>
      </w:tr>
      <w:tr w:rsidR="77BE0170" w14:paraId="4482519F" w14:textId="77777777" w:rsidTr="77BE0170">
        <w:trPr>
          <w:trHeight w:val="555"/>
        </w:trPr>
        <w:tc>
          <w:tcPr>
            <w:tcW w:w="840" w:type="dxa"/>
            <w:vMerge/>
            <w:tcBorders>
              <w:left w:val="single" w:sz="0" w:space="0" w:color="BFBFBF" w:themeColor="background1" w:themeShade="BF"/>
              <w:bottom w:val="single" w:sz="0" w:space="0" w:color="BFBFBF" w:themeColor="background1" w:themeShade="BF"/>
              <w:right w:val="single" w:sz="0" w:space="0" w:color="BFBFBF" w:themeColor="background1" w:themeShade="BF"/>
            </w:tcBorders>
            <w:vAlign w:val="center"/>
          </w:tcPr>
          <w:p w14:paraId="6FE55F72" w14:textId="77777777" w:rsidR="00C90369" w:rsidRDefault="00C90369"/>
        </w:tc>
        <w:tc>
          <w:tcPr>
            <w:tcW w:w="1125" w:type="dxa"/>
            <w:tcBorders>
              <w:top w:val="single" w:sz="6" w:space="0" w:color="BFBFBF" w:themeColor="background1" w:themeShade="BF"/>
              <w:left w:val="nil"/>
              <w:bottom w:val="single" w:sz="6" w:space="0" w:color="BFBFBF" w:themeColor="background1" w:themeShade="BF"/>
              <w:right w:val="single" w:sz="6" w:space="0" w:color="BFBFBF" w:themeColor="background1" w:themeShade="BF"/>
            </w:tcBorders>
            <w:tcMar>
              <w:left w:w="105" w:type="dxa"/>
              <w:right w:w="105" w:type="dxa"/>
            </w:tcMar>
            <w:vAlign w:val="center"/>
          </w:tcPr>
          <w:p w14:paraId="7113CBC8" w14:textId="2CB34DDF" w:rsidR="77BE0170" w:rsidRDefault="77BE0170" w:rsidP="77BE0170">
            <w:pPr>
              <w:spacing w:after="0" w:line="240" w:lineRule="auto"/>
              <w:jc w:val="center"/>
              <w:rPr>
                <w:rFonts w:ascii="Calibri" w:eastAsia="Calibri" w:hAnsi="Calibri" w:cs="Calibri"/>
                <w:color w:val="000000" w:themeColor="text1"/>
                <w:sz w:val="18"/>
                <w:szCs w:val="18"/>
              </w:rPr>
            </w:pPr>
            <w:r w:rsidRPr="77BE0170">
              <w:rPr>
                <w:rFonts w:ascii="Calibri" w:eastAsia="Calibri" w:hAnsi="Calibri" w:cs="Calibri"/>
                <w:color w:val="000000" w:themeColor="text1"/>
                <w:sz w:val="18"/>
                <w:szCs w:val="18"/>
                <w:lang w:val="en-GB"/>
              </w:rPr>
              <w:t>Δ Peak Time (min)</w:t>
            </w:r>
          </w:p>
        </w:tc>
        <w:tc>
          <w:tcPr>
            <w:tcW w:w="55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Mar>
              <w:left w:w="105" w:type="dxa"/>
              <w:right w:w="105" w:type="dxa"/>
            </w:tcMar>
            <w:vAlign w:val="center"/>
          </w:tcPr>
          <w:p w14:paraId="1796530E" w14:textId="7DAB0088" w:rsidR="77BE0170" w:rsidRDefault="77BE0170" w:rsidP="77BE0170">
            <w:pPr>
              <w:spacing w:after="0" w:line="240" w:lineRule="auto"/>
              <w:jc w:val="center"/>
              <w:rPr>
                <w:rFonts w:ascii="Calibri" w:eastAsia="Calibri" w:hAnsi="Calibri" w:cs="Calibri"/>
                <w:color w:val="000000" w:themeColor="text1"/>
                <w:sz w:val="18"/>
                <w:szCs w:val="18"/>
              </w:rPr>
            </w:pPr>
            <w:r w:rsidRPr="77BE0170">
              <w:rPr>
                <w:rFonts w:ascii="Calibri" w:eastAsia="Calibri" w:hAnsi="Calibri" w:cs="Calibri"/>
                <w:color w:val="000000" w:themeColor="text1"/>
                <w:sz w:val="18"/>
                <w:szCs w:val="18"/>
              </w:rPr>
              <w:t>-</w:t>
            </w:r>
          </w:p>
        </w:tc>
        <w:tc>
          <w:tcPr>
            <w:tcW w:w="70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Mar>
              <w:left w:w="105" w:type="dxa"/>
              <w:right w:w="105" w:type="dxa"/>
            </w:tcMar>
            <w:vAlign w:val="center"/>
          </w:tcPr>
          <w:p w14:paraId="4FE16037" w14:textId="084F036F" w:rsidR="77BE0170" w:rsidRDefault="77BE0170" w:rsidP="77BE0170">
            <w:pPr>
              <w:spacing w:after="0" w:line="240" w:lineRule="auto"/>
              <w:jc w:val="center"/>
              <w:rPr>
                <w:rFonts w:ascii="Calibri" w:eastAsia="Calibri" w:hAnsi="Calibri" w:cs="Calibri"/>
                <w:color w:val="000000" w:themeColor="text1"/>
                <w:sz w:val="18"/>
                <w:szCs w:val="18"/>
              </w:rPr>
            </w:pPr>
            <w:r w:rsidRPr="77BE0170">
              <w:rPr>
                <w:rFonts w:ascii="Calibri" w:eastAsia="Calibri" w:hAnsi="Calibri" w:cs="Calibri"/>
                <w:color w:val="000000" w:themeColor="text1"/>
                <w:sz w:val="18"/>
                <w:szCs w:val="18"/>
              </w:rPr>
              <w:t>-</w:t>
            </w:r>
          </w:p>
        </w:tc>
        <w:tc>
          <w:tcPr>
            <w:tcW w:w="55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Mar>
              <w:left w:w="105" w:type="dxa"/>
              <w:right w:w="105" w:type="dxa"/>
            </w:tcMar>
            <w:vAlign w:val="center"/>
          </w:tcPr>
          <w:p w14:paraId="0BC3F793" w14:textId="16BC9B03" w:rsidR="77BE0170" w:rsidRDefault="77BE0170" w:rsidP="77BE0170">
            <w:pPr>
              <w:spacing w:after="0" w:line="240" w:lineRule="auto"/>
              <w:jc w:val="center"/>
              <w:rPr>
                <w:rFonts w:ascii="Calibri" w:eastAsia="Calibri" w:hAnsi="Calibri" w:cs="Calibri"/>
                <w:color w:val="000000" w:themeColor="text1"/>
                <w:sz w:val="18"/>
                <w:szCs w:val="18"/>
              </w:rPr>
            </w:pPr>
            <w:r w:rsidRPr="77BE0170">
              <w:rPr>
                <w:rFonts w:ascii="Calibri" w:eastAsia="Calibri" w:hAnsi="Calibri" w:cs="Calibri"/>
                <w:color w:val="000000" w:themeColor="text1"/>
                <w:sz w:val="18"/>
                <w:szCs w:val="18"/>
              </w:rPr>
              <w:t>-</w:t>
            </w:r>
          </w:p>
        </w:tc>
        <w:tc>
          <w:tcPr>
            <w:tcW w:w="70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FFF3CC"/>
            <w:tcMar>
              <w:left w:w="105" w:type="dxa"/>
              <w:right w:w="105" w:type="dxa"/>
            </w:tcMar>
            <w:vAlign w:val="center"/>
          </w:tcPr>
          <w:p w14:paraId="73DA4E39" w14:textId="48680EDE" w:rsidR="77BE0170" w:rsidRDefault="77BE0170" w:rsidP="77BE0170">
            <w:pPr>
              <w:spacing w:after="0" w:line="240" w:lineRule="auto"/>
              <w:jc w:val="center"/>
              <w:rPr>
                <w:rFonts w:ascii="Calibri" w:eastAsia="Calibri" w:hAnsi="Calibri" w:cs="Calibri"/>
                <w:color w:val="000000" w:themeColor="text1"/>
                <w:sz w:val="18"/>
                <w:szCs w:val="18"/>
              </w:rPr>
            </w:pPr>
            <w:r w:rsidRPr="77BE0170">
              <w:rPr>
                <w:rFonts w:ascii="Calibri" w:eastAsia="Calibri" w:hAnsi="Calibri" w:cs="Calibri"/>
                <w:color w:val="000000" w:themeColor="text1"/>
                <w:sz w:val="18"/>
                <w:szCs w:val="18"/>
              </w:rPr>
              <w:t>15</w:t>
            </w:r>
          </w:p>
        </w:tc>
        <w:tc>
          <w:tcPr>
            <w:tcW w:w="70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Mar>
              <w:left w:w="105" w:type="dxa"/>
              <w:right w:w="105" w:type="dxa"/>
            </w:tcMar>
            <w:vAlign w:val="center"/>
          </w:tcPr>
          <w:p w14:paraId="47FDB532" w14:textId="16088F5B" w:rsidR="77BE0170" w:rsidRDefault="77BE0170" w:rsidP="77BE0170">
            <w:pPr>
              <w:spacing w:after="0" w:line="240" w:lineRule="auto"/>
              <w:jc w:val="center"/>
              <w:rPr>
                <w:rFonts w:ascii="Calibri" w:eastAsia="Calibri" w:hAnsi="Calibri" w:cs="Calibri"/>
                <w:color w:val="000000" w:themeColor="text1"/>
                <w:sz w:val="18"/>
                <w:szCs w:val="18"/>
              </w:rPr>
            </w:pPr>
            <w:r w:rsidRPr="77BE0170">
              <w:rPr>
                <w:rFonts w:ascii="Calibri" w:eastAsia="Calibri" w:hAnsi="Calibri" w:cs="Calibri"/>
                <w:color w:val="000000" w:themeColor="text1"/>
                <w:sz w:val="18"/>
                <w:szCs w:val="18"/>
              </w:rPr>
              <w:t>-</w:t>
            </w:r>
          </w:p>
        </w:tc>
        <w:tc>
          <w:tcPr>
            <w:tcW w:w="840"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FFF3CC"/>
            <w:tcMar>
              <w:left w:w="105" w:type="dxa"/>
              <w:right w:w="105" w:type="dxa"/>
            </w:tcMar>
            <w:vAlign w:val="center"/>
          </w:tcPr>
          <w:p w14:paraId="6E8CFD1D" w14:textId="07842A02" w:rsidR="77BE0170" w:rsidRDefault="77BE0170" w:rsidP="77BE0170">
            <w:pPr>
              <w:spacing w:after="0" w:line="240" w:lineRule="auto"/>
              <w:jc w:val="center"/>
              <w:rPr>
                <w:rFonts w:ascii="Calibri" w:eastAsia="Calibri" w:hAnsi="Calibri" w:cs="Calibri"/>
                <w:color w:val="000000" w:themeColor="text1"/>
                <w:sz w:val="18"/>
                <w:szCs w:val="18"/>
              </w:rPr>
            </w:pPr>
            <w:r w:rsidRPr="77BE0170">
              <w:rPr>
                <w:rFonts w:ascii="Calibri" w:eastAsia="Calibri" w:hAnsi="Calibri" w:cs="Calibri"/>
                <w:color w:val="000000" w:themeColor="text1"/>
                <w:sz w:val="18"/>
                <w:szCs w:val="18"/>
                <w:lang w:val="en-GB"/>
              </w:rPr>
              <w:t>15</w:t>
            </w:r>
          </w:p>
        </w:tc>
        <w:tc>
          <w:tcPr>
            <w:tcW w:w="55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FFFFFF" w:themeFill="background1"/>
            <w:tcMar>
              <w:left w:w="105" w:type="dxa"/>
              <w:right w:w="105" w:type="dxa"/>
            </w:tcMar>
            <w:vAlign w:val="center"/>
          </w:tcPr>
          <w:p w14:paraId="29248603" w14:textId="36AF59DB" w:rsidR="77BE0170" w:rsidRDefault="77BE0170" w:rsidP="77BE0170">
            <w:pPr>
              <w:spacing w:after="0" w:line="240" w:lineRule="auto"/>
              <w:jc w:val="center"/>
              <w:rPr>
                <w:rFonts w:ascii="Calibri" w:eastAsia="Calibri" w:hAnsi="Calibri" w:cs="Calibri"/>
                <w:color w:val="000000" w:themeColor="text1"/>
                <w:sz w:val="18"/>
                <w:szCs w:val="18"/>
              </w:rPr>
            </w:pPr>
            <w:r w:rsidRPr="77BE0170">
              <w:rPr>
                <w:rFonts w:ascii="Calibri" w:eastAsia="Calibri" w:hAnsi="Calibri" w:cs="Calibri"/>
                <w:color w:val="000000" w:themeColor="text1"/>
                <w:sz w:val="18"/>
                <w:szCs w:val="18"/>
                <w:lang w:val="en-GB"/>
              </w:rPr>
              <w:t>0</w:t>
            </w:r>
          </w:p>
        </w:tc>
        <w:tc>
          <w:tcPr>
            <w:tcW w:w="94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Mar>
              <w:left w:w="105" w:type="dxa"/>
              <w:right w:w="105" w:type="dxa"/>
            </w:tcMar>
            <w:vAlign w:val="center"/>
          </w:tcPr>
          <w:p w14:paraId="3EDB96E7" w14:textId="7308A361" w:rsidR="77BE0170" w:rsidRDefault="77BE0170" w:rsidP="77BE0170">
            <w:pPr>
              <w:spacing w:after="0" w:line="240" w:lineRule="auto"/>
              <w:jc w:val="center"/>
              <w:rPr>
                <w:rFonts w:ascii="Calibri" w:eastAsia="Calibri" w:hAnsi="Calibri" w:cs="Calibri"/>
                <w:color w:val="000000" w:themeColor="text1"/>
                <w:sz w:val="18"/>
                <w:szCs w:val="18"/>
              </w:rPr>
            </w:pPr>
            <w:r w:rsidRPr="77BE0170">
              <w:rPr>
                <w:rFonts w:ascii="Calibri" w:eastAsia="Calibri" w:hAnsi="Calibri" w:cs="Calibri"/>
                <w:color w:val="000000" w:themeColor="text1"/>
                <w:sz w:val="18"/>
                <w:szCs w:val="18"/>
                <w:lang w:val="en-GB"/>
              </w:rPr>
              <w:t>-</w:t>
            </w:r>
          </w:p>
        </w:tc>
        <w:tc>
          <w:tcPr>
            <w:tcW w:w="690"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Mar>
              <w:left w:w="105" w:type="dxa"/>
              <w:right w:w="105" w:type="dxa"/>
            </w:tcMar>
            <w:vAlign w:val="center"/>
          </w:tcPr>
          <w:p w14:paraId="7602E1A9" w14:textId="710A997D" w:rsidR="77BE0170" w:rsidRDefault="77BE0170" w:rsidP="77BE0170">
            <w:pPr>
              <w:spacing w:after="0" w:line="240" w:lineRule="auto"/>
              <w:jc w:val="center"/>
              <w:rPr>
                <w:rFonts w:ascii="Calibri" w:eastAsia="Calibri" w:hAnsi="Calibri" w:cs="Calibri"/>
                <w:color w:val="000000" w:themeColor="text1"/>
                <w:sz w:val="18"/>
                <w:szCs w:val="18"/>
              </w:rPr>
            </w:pPr>
            <w:r w:rsidRPr="77BE0170">
              <w:rPr>
                <w:rFonts w:ascii="Calibri" w:eastAsia="Calibri" w:hAnsi="Calibri" w:cs="Calibri"/>
                <w:color w:val="000000" w:themeColor="text1"/>
                <w:sz w:val="18"/>
                <w:szCs w:val="18"/>
                <w:lang w:val="en-GB"/>
              </w:rPr>
              <w:t>-</w:t>
            </w:r>
          </w:p>
        </w:tc>
        <w:tc>
          <w:tcPr>
            <w:tcW w:w="690"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Mar>
              <w:left w:w="105" w:type="dxa"/>
              <w:right w:w="105" w:type="dxa"/>
            </w:tcMar>
            <w:vAlign w:val="center"/>
          </w:tcPr>
          <w:p w14:paraId="38FEE68C" w14:textId="664F0F8C" w:rsidR="77BE0170" w:rsidRDefault="77BE0170" w:rsidP="77BE0170">
            <w:pPr>
              <w:spacing w:after="0" w:line="240" w:lineRule="auto"/>
              <w:jc w:val="center"/>
              <w:rPr>
                <w:rFonts w:ascii="Calibri" w:eastAsia="Calibri" w:hAnsi="Calibri" w:cs="Calibri"/>
                <w:color w:val="000000" w:themeColor="text1"/>
                <w:sz w:val="18"/>
                <w:szCs w:val="18"/>
              </w:rPr>
            </w:pPr>
            <w:r w:rsidRPr="77BE0170">
              <w:rPr>
                <w:rFonts w:ascii="Calibri" w:eastAsia="Calibri" w:hAnsi="Calibri" w:cs="Calibri"/>
                <w:color w:val="000000" w:themeColor="text1"/>
                <w:sz w:val="18"/>
                <w:szCs w:val="18"/>
                <w:lang w:val="en-GB"/>
              </w:rPr>
              <w:t>-</w:t>
            </w:r>
          </w:p>
        </w:tc>
      </w:tr>
      <w:tr w:rsidR="77BE0170" w14:paraId="39F7440D" w14:textId="77777777" w:rsidTr="77BE0170">
        <w:trPr>
          <w:trHeight w:val="555"/>
        </w:trPr>
        <w:tc>
          <w:tcPr>
            <w:tcW w:w="840" w:type="dxa"/>
            <w:vMerge w:val="restart"/>
            <w:tcBorders>
              <w:top w:val="single" w:sz="6" w:space="0" w:color="A6A6A6" w:themeColor="background1" w:themeShade="A6"/>
              <w:left w:val="single" w:sz="6" w:space="0" w:color="BFBFBF" w:themeColor="background1" w:themeShade="BF"/>
              <w:bottom w:val="single" w:sz="6" w:space="0" w:color="A6A6A6" w:themeColor="background1" w:themeShade="A6"/>
              <w:right w:val="single" w:sz="6" w:space="0" w:color="BFBFBF" w:themeColor="background1" w:themeShade="BF"/>
            </w:tcBorders>
            <w:tcMar>
              <w:left w:w="105" w:type="dxa"/>
              <w:right w:w="105" w:type="dxa"/>
            </w:tcMar>
            <w:vAlign w:val="center"/>
          </w:tcPr>
          <w:p w14:paraId="5DB96E6A" w14:textId="09DA4722" w:rsidR="77BE0170" w:rsidRDefault="77BE0170" w:rsidP="77BE0170">
            <w:pPr>
              <w:spacing w:after="0" w:line="240" w:lineRule="auto"/>
              <w:jc w:val="center"/>
              <w:rPr>
                <w:rFonts w:ascii="Calibri" w:eastAsia="Calibri" w:hAnsi="Calibri" w:cs="Calibri"/>
                <w:color w:val="000000" w:themeColor="text1"/>
                <w:sz w:val="18"/>
                <w:szCs w:val="18"/>
              </w:rPr>
            </w:pPr>
            <w:r w:rsidRPr="77BE0170">
              <w:rPr>
                <w:rFonts w:ascii="Calibri" w:eastAsia="Calibri" w:hAnsi="Calibri" w:cs="Calibri"/>
                <w:b/>
                <w:bCs/>
                <w:color w:val="000000" w:themeColor="text1"/>
                <w:sz w:val="18"/>
                <w:szCs w:val="18"/>
                <w:lang w:val="en-GB"/>
              </w:rPr>
              <w:t>Storm Noa</w:t>
            </w:r>
          </w:p>
        </w:tc>
        <w:tc>
          <w:tcPr>
            <w:tcW w:w="1125" w:type="dxa"/>
            <w:tcBorders>
              <w:top w:val="single" w:sz="6" w:space="0" w:color="A6A6A6" w:themeColor="background1" w:themeShade="A6"/>
              <w:left w:val="single" w:sz="6" w:space="0" w:color="BFBFBF" w:themeColor="background1" w:themeShade="BF"/>
              <w:bottom w:val="single" w:sz="6" w:space="0" w:color="BFBFBF" w:themeColor="background1" w:themeShade="BF"/>
              <w:right w:val="single" w:sz="6" w:space="0" w:color="BFBFBF" w:themeColor="background1" w:themeShade="BF"/>
            </w:tcBorders>
            <w:tcMar>
              <w:left w:w="105" w:type="dxa"/>
              <w:right w:w="105" w:type="dxa"/>
            </w:tcMar>
            <w:vAlign w:val="center"/>
          </w:tcPr>
          <w:p w14:paraId="2DE25258" w14:textId="57BBA850" w:rsidR="77BE0170" w:rsidRDefault="77BE0170" w:rsidP="77BE0170">
            <w:pPr>
              <w:spacing w:after="0" w:line="240" w:lineRule="auto"/>
              <w:jc w:val="center"/>
              <w:rPr>
                <w:rFonts w:ascii="Calibri" w:eastAsia="Calibri" w:hAnsi="Calibri" w:cs="Calibri"/>
                <w:color w:val="000000" w:themeColor="text1"/>
                <w:sz w:val="18"/>
                <w:szCs w:val="18"/>
              </w:rPr>
            </w:pPr>
            <w:r w:rsidRPr="77BE0170">
              <w:rPr>
                <w:rFonts w:ascii="Calibri" w:eastAsia="Calibri" w:hAnsi="Calibri" w:cs="Calibri"/>
                <w:color w:val="000000" w:themeColor="text1"/>
                <w:sz w:val="18"/>
                <w:szCs w:val="18"/>
                <w:lang w:val="en-GB"/>
              </w:rPr>
              <w:t>Δ Max TWLs (m)</w:t>
            </w:r>
          </w:p>
        </w:tc>
        <w:tc>
          <w:tcPr>
            <w:tcW w:w="555" w:type="dxa"/>
            <w:tcBorders>
              <w:top w:val="single" w:sz="6" w:space="0" w:color="A6A6A6" w:themeColor="background1" w:themeShade="A6"/>
              <w:left w:val="single" w:sz="6" w:space="0" w:color="BFBFBF" w:themeColor="background1" w:themeShade="BF"/>
              <w:bottom w:val="single" w:sz="6" w:space="0" w:color="BFBFBF" w:themeColor="background1" w:themeShade="BF"/>
              <w:right w:val="single" w:sz="6" w:space="0" w:color="BFBFBF" w:themeColor="background1" w:themeShade="BF"/>
            </w:tcBorders>
            <w:tcMar>
              <w:left w:w="105" w:type="dxa"/>
              <w:right w:w="105" w:type="dxa"/>
            </w:tcMar>
            <w:vAlign w:val="center"/>
          </w:tcPr>
          <w:p w14:paraId="463C0636" w14:textId="14DEE9D8" w:rsidR="77BE0170" w:rsidRDefault="77BE0170" w:rsidP="77BE0170">
            <w:pPr>
              <w:spacing w:after="0" w:line="240" w:lineRule="auto"/>
              <w:jc w:val="center"/>
              <w:rPr>
                <w:rFonts w:ascii="Calibri" w:eastAsia="Calibri" w:hAnsi="Calibri" w:cs="Calibri"/>
                <w:color w:val="000000" w:themeColor="text1"/>
                <w:sz w:val="18"/>
                <w:szCs w:val="18"/>
              </w:rPr>
            </w:pPr>
            <w:r w:rsidRPr="77BE0170">
              <w:rPr>
                <w:rFonts w:ascii="Calibri" w:eastAsia="Calibri" w:hAnsi="Calibri" w:cs="Calibri"/>
                <w:color w:val="000000" w:themeColor="text1"/>
                <w:sz w:val="18"/>
                <w:szCs w:val="18"/>
              </w:rPr>
              <w:t>-</w:t>
            </w:r>
          </w:p>
        </w:tc>
        <w:tc>
          <w:tcPr>
            <w:tcW w:w="705" w:type="dxa"/>
            <w:tcBorders>
              <w:top w:val="single" w:sz="6" w:space="0" w:color="A6A6A6" w:themeColor="background1" w:themeShade="A6"/>
              <w:left w:val="single" w:sz="6" w:space="0" w:color="BFBFBF" w:themeColor="background1" w:themeShade="BF"/>
              <w:bottom w:val="single" w:sz="6" w:space="0" w:color="BFBFBF" w:themeColor="background1" w:themeShade="BF"/>
              <w:right w:val="single" w:sz="6" w:space="0" w:color="BFBFBF" w:themeColor="background1" w:themeShade="BF"/>
            </w:tcBorders>
            <w:tcMar>
              <w:left w:w="105" w:type="dxa"/>
              <w:right w:w="105" w:type="dxa"/>
            </w:tcMar>
            <w:vAlign w:val="center"/>
          </w:tcPr>
          <w:p w14:paraId="36BE4930" w14:textId="727F2415" w:rsidR="77BE0170" w:rsidRDefault="77BE0170" w:rsidP="77BE0170">
            <w:pPr>
              <w:spacing w:after="0" w:line="240" w:lineRule="auto"/>
              <w:jc w:val="center"/>
              <w:rPr>
                <w:rFonts w:ascii="Calibri" w:eastAsia="Calibri" w:hAnsi="Calibri" w:cs="Calibri"/>
                <w:color w:val="000000" w:themeColor="text1"/>
                <w:sz w:val="18"/>
                <w:szCs w:val="18"/>
              </w:rPr>
            </w:pPr>
            <w:r w:rsidRPr="77BE0170">
              <w:rPr>
                <w:rFonts w:ascii="Calibri" w:eastAsia="Calibri" w:hAnsi="Calibri" w:cs="Calibri"/>
                <w:color w:val="000000" w:themeColor="text1"/>
                <w:sz w:val="18"/>
                <w:szCs w:val="18"/>
              </w:rPr>
              <w:t>-</w:t>
            </w:r>
          </w:p>
        </w:tc>
        <w:tc>
          <w:tcPr>
            <w:tcW w:w="555" w:type="dxa"/>
            <w:tcBorders>
              <w:top w:val="single" w:sz="6" w:space="0" w:color="A6A6A6" w:themeColor="background1" w:themeShade="A6"/>
              <w:left w:val="single" w:sz="6" w:space="0" w:color="BFBFBF" w:themeColor="background1" w:themeShade="BF"/>
              <w:bottom w:val="single" w:sz="6" w:space="0" w:color="BFBFBF" w:themeColor="background1" w:themeShade="BF"/>
              <w:right w:val="single" w:sz="6" w:space="0" w:color="BFBFBF" w:themeColor="background1" w:themeShade="BF"/>
            </w:tcBorders>
            <w:tcMar>
              <w:left w:w="105" w:type="dxa"/>
              <w:right w:w="105" w:type="dxa"/>
            </w:tcMar>
            <w:vAlign w:val="center"/>
          </w:tcPr>
          <w:p w14:paraId="76308CA4" w14:textId="0043944E" w:rsidR="77BE0170" w:rsidRDefault="77BE0170" w:rsidP="77BE0170">
            <w:pPr>
              <w:spacing w:after="0" w:line="240" w:lineRule="auto"/>
              <w:jc w:val="center"/>
              <w:rPr>
                <w:rFonts w:ascii="Calibri" w:eastAsia="Calibri" w:hAnsi="Calibri" w:cs="Calibri"/>
                <w:color w:val="000000" w:themeColor="text1"/>
                <w:sz w:val="18"/>
                <w:szCs w:val="18"/>
              </w:rPr>
            </w:pPr>
            <w:r w:rsidRPr="77BE0170">
              <w:rPr>
                <w:rFonts w:ascii="Calibri" w:eastAsia="Calibri" w:hAnsi="Calibri" w:cs="Calibri"/>
                <w:color w:val="000000" w:themeColor="text1"/>
                <w:sz w:val="18"/>
                <w:szCs w:val="18"/>
              </w:rPr>
              <w:t>-</w:t>
            </w:r>
          </w:p>
        </w:tc>
        <w:tc>
          <w:tcPr>
            <w:tcW w:w="705" w:type="dxa"/>
            <w:tcBorders>
              <w:top w:val="single" w:sz="6" w:space="0" w:color="A6A6A6" w:themeColor="background1" w:themeShade="A6"/>
              <w:left w:val="single" w:sz="6" w:space="0" w:color="BFBFBF" w:themeColor="background1" w:themeShade="BF"/>
              <w:bottom w:val="single" w:sz="6" w:space="0" w:color="BFBFBF" w:themeColor="background1" w:themeShade="BF"/>
              <w:right w:val="single" w:sz="6" w:space="0" w:color="BFBFBF" w:themeColor="background1" w:themeShade="BF"/>
            </w:tcBorders>
            <w:tcMar>
              <w:left w:w="105" w:type="dxa"/>
              <w:right w:w="105" w:type="dxa"/>
            </w:tcMar>
            <w:vAlign w:val="center"/>
          </w:tcPr>
          <w:p w14:paraId="15705073" w14:textId="010C9AAC" w:rsidR="77BE0170" w:rsidRDefault="77BE0170" w:rsidP="77BE0170">
            <w:pPr>
              <w:spacing w:after="0" w:line="240" w:lineRule="auto"/>
              <w:jc w:val="center"/>
              <w:rPr>
                <w:rFonts w:ascii="Calibri" w:eastAsia="Calibri" w:hAnsi="Calibri" w:cs="Calibri"/>
                <w:color w:val="000000" w:themeColor="text1"/>
                <w:sz w:val="18"/>
                <w:szCs w:val="18"/>
              </w:rPr>
            </w:pPr>
            <w:r w:rsidRPr="77BE0170">
              <w:rPr>
                <w:rFonts w:ascii="Calibri" w:eastAsia="Calibri" w:hAnsi="Calibri" w:cs="Calibri"/>
                <w:color w:val="000000" w:themeColor="text1"/>
                <w:sz w:val="18"/>
                <w:szCs w:val="18"/>
              </w:rPr>
              <w:t>-</w:t>
            </w:r>
          </w:p>
        </w:tc>
        <w:tc>
          <w:tcPr>
            <w:tcW w:w="705" w:type="dxa"/>
            <w:tcBorders>
              <w:top w:val="single" w:sz="6" w:space="0" w:color="A6A6A6" w:themeColor="background1" w:themeShade="A6"/>
              <w:left w:val="single" w:sz="6" w:space="0" w:color="BFBFBF" w:themeColor="background1" w:themeShade="BF"/>
              <w:bottom w:val="single" w:sz="6" w:space="0" w:color="BFBFBF" w:themeColor="background1" w:themeShade="BF"/>
              <w:right w:val="single" w:sz="6" w:space="0" w:color="BFBFBF" w:themeColor="background1" w:themeShade="BF"/>
            </w:tcBorders>
            <w:tcMar>
              <w:left w:w="105" w:type="dxa"/>
              <w:right w:w="105" w:type="dxa"/>
            </w:tcMar>
            <w:vAlign w:val="center"/>
          </w:tcPr>
          <w:p w14:paraId="6C9FF540" w14:textId="2FDFDDA5" w:rsidR="77BE0170" w:rsidRDefault="77BE0170" w:rsidP="77BE0170">
            <w:pPr>
              <w:spacing w:after="0" w:line="240" w:lineRule="auto"/>
              <w:jc w:val="center"/>
              <w:rPr>
                <w:rFonts w:ascii="Calibri" w:eastAsia="Calibri" w:hAnsi="Calibri" w:cs="Calibri"/>
                <w:color w:val="000000" w:themeColor="text1"/>
                <w:sz w:val="18"/>
                <w:szCs w:val="18"/>
              </w:rPr>
            </w:pPr>
            <w:r w:rsidRPr="77BE0170">
              <w:rPr>
                <w:rFonts w:ascii="Calibri" w:eastAsia="Calibri" w:hAnsi="Calibri" w:cs="Calibri"/>
                <w:color w:val="000000" w:themeColor="text1"/>
                <w:sz w:val="18"/>
                <w:szCs w:val="18"/>
              </w:rPr>
              <w:t>-</w:t>
            </w:r>
          </w:p>
        </w:tc>
        <w:tc>
          <w:tcPr>
            <w:tcW w:w="840" w:type="dxa"/>
            <w:tcBorders>
              <w:top w:val="single" w:sz="6" w:space="0" w:color="A6A6A6" w:themeColor="background1" w:themeShade="A6"/>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FCEDEF"/>
            <w:tcMar>
              <w:left w:w="105" w:type="dxa"/>
              <w:right w:w="105" w:type="dxa"/>
            </w:tcMar>
            <w:vAlign w:val="center"/>
          </w:tcPr>
          <w:p w14:paraId="1241EFB0" w14:textId="4BE974F1" w:rsidR="77BE0170" w:rsidRDefault="77BE0170" w:rsidP="77BE0170">
            <w:pPr>
              <w:spacing w:after="0" w:line="240" w:lineRule="auto"/>
              <w:jc w:val="center"/>
              <w:rPr>
                <w:rFonts w:ascii="Calibri" w:eastAsia="Calibri" w:hAnsi="Calibri" w:cs="Calibri"/>
                <w:color w:val="000000" w:themeColor="text1"/>
                <w:sz w:val="18"/>
                <w:szCs w:val="18"/>
              </w:rPr>
            </w:pPr>
            <w:r w:rsidRPr="77BE0170">
              <w:rPr>
                <w:rFonts w:ascii="Calibri" w:eastAsia="Calibri" w:hAnsi="Calibri" w:cs="Calibri"/>
                <w:color w:val="000000" w:themeColor="text1"/>
                <w:sz w:val="18"/>
                <w:szCs w:val="18"/>
                <w:lang w:val="en-GB"/>
              </w:rPr>
              <w:t>0.05</w:t>
            </w:r>
          </w:p>
        </w:tc>
        <w:tc>
          <w:tcPr>
            <w:tcW w:w="555" w:type="dxa"/>
            <w:tcBorders>
              <w:top w:val="single" w:sz="6" w:space="0" w:color="A6A6A6" w:themeColor="background1" w:themeShade="A6"/>
              <w:left w:val="single" w:sz="6" w:space="0" w:color="BFBFBF" w:themeColor="background1" w:themeShade="BF"/>
              <w:bottom w:val="single" w:sz="6" w:space="0" w:color="BFBFBF" w:themeColor="background1" w:themeShade="BF"/>
              <w:right w:val="single" w:sz="6" w:space="0" w:color="BFBFBF" w:themeColor="background1" w:themeShade="BF"/>
            </w:tcBorders>
            <w:tcMar>
              <w:left w:w="105" w:type="dxa"/>
              <w:right w:w="105" w:type="dxa"/>
            </w:tcMar>
            <w:vAlign w:val="center"/>
          </w:tcPr>
          <w:p w14:paraId="0B8DAB54" w14:textId="644EA1D3" w:rsidR="77BE0170" w:rsidRDefault="77BE0170" w:rsidP="77BE0170">
            <w:pPr>
              <w:spacing w:after="0" w:line="240" w:lineRule="auto"/>
              <w:jc w:val="center"/>
              <w:rPr>
                <w:rFonts w:ascii="Calibri" w:eastAsia="Calibri" w:hAnsi="Calibri" w:cs="Calibri"/>
                <w:color w:val="000000" w:themeColor="text1"/>
                <w:sz w:val="18"/>
                <w:szCs w:val="18"/>
              </w:rPr>
            </w:pPr>
            <w:r w:rsidRPr="77BE0170">
              <w:rPr>
                <w:rFonts w:ascii="Calibri" w:eastAsia="Calibri" w:hAnsi="Calibri" w:cs="Calibri"/>
                <w:color w:val="000000" w:themeColor="text1"/>
                <w:sz w:val="18"/>
                <w:szCs w:val="18"/>
              </w:rPr>
              <w:t>-</w:t>
            </w:r>
          </w:p>
        </w:tc>
        <w:tc>
          <w:tcPr>
            <w:tcW w:w="945" w:type="dxa"/>
            <w:tcBorders>
              <w:top w:val="single" w:sz="6" w:space="0" w:color="A6A6A6" w:themeColor="background1" w:themeShade="A6"/>
              <w:left w:val="single" w:sz="6" w:space="0" w:color="BFBFBF" w:themeColor="background1" w:themeShade="BF"/>
              <w:bottom w:val="single" w:sz="6" w:space="0" w:color="BFBFBF" w:themeColor="background1" w:themeShade="BF"/>
              <w:right w:val="single" w:sz="6" w:space="0" w:color="BFBFBF" w:themeColor="background1" w:themeShade="BF"/>
            </w:tcBorders>
            <w:tcMar>
              <w:left w:w="105" w:type="dxa"/>
              <w:right w:w="105" w:type="dxa"/>
            </w:tcMar>
            <w:vAlign w:val="center"/>
          </w:tcPr>
          <w:p w14:paraId="22CA2151" w14:textId="45201F4C" w:rsidR="77BE0170" w:rsidRDefault="77BE0170" w:rsidP="77BE0170">
            <w:pPr>
              <w:spacing w:after="0" w:line="240" w:lineRule="auto"/>
              <w:jc w:val="center"/>
              <w:rPr>
                <w:rFonts w:ascii="Calibri" w:eastAsia="Calibri" w:hAnsi="Calibri" w:cs="Calibri"/>
                <w:color w:val="000000" w:themeColor="text1"/>
                <w:sz w:val="18"/>
                <w:szCs w:val="18"/>
              </w:rPr>
            </w:pPr>
            <w:r w:rsidRPr="77BE0170">
              <w:rPr>
                <w:rFonts w:ascii="Calibri" w:eastAsia="Calibri" w:hAnsi="Calibri" w:cs="Calibri"/>
                <w:color w:val="000000" w:themeColor="text1"/>
                <w:sz w:val="18"/>
                <w:szCs w:val="18"/>
                <w:lang w:val="en-GB"/>
              </w:rPr>
              <w:t>-</w:t>
            </w:r>
          </w:p>
        </w:tc>
        <w:tc>
          <w:tcPr>
            <w:tcW w:w="690" w:type="dxa"/>
            <w:tcBorders>
              <w:top w:val="single" w:sz="6" w:space="0" w:color="A6A6A6" w:themeColor="background1" w:themeShade="A6"/>
              <w:left w:val="single" w:sz="6" w:space="0" w:color="BFBFBF" w:themeColor="background1" w:themeShade="BF"/>
              <w:bottom w:val="single" w:sz="6" w:space="0" w:color="BFBFBF" w:themeColor="background1" w:themeShade="BF"/>
              <w:right w:val="single" w:sz="6" w:space="0" w:color="BFBFBF" w:themeColor="background1" w:themeShade="BF"/>
            </w:tcBorders>
            <w:tcMar>
              <w:left w:w="105" w:type="dxa"/>
              <w:right w:w="105" w:type="dxa"/>
            </w:tcMar>
            <w:vAlign w:val="center"/>
          </w:tcPr>
          <w:p w14:paraId="693F584C" w14:textId="076CA9BA" w:rsidR="77BE0170" w:rsidRDefault="77BE0170" w:rsidP="77BE0170">
            <w:pPr>
              <w:spacing w:after="0" w:line="240" w:lineRule="auto"/>
              <w:jc w:val="center"/>
              <w:rPr>
                <w:rFonts w:ascii="Calibri" w:eastAsia="Calibri" w:hAnsi="Calibri" w:cs="Calibri"/>
                <w:color w:val="000000" w:themeColor="text1"/>
                <w:sz w:val="18"/>
                <w:szCs w:val="18"/>
              </w:rPr>
            </w:pPr>
            <w:r w:rsidRPr="77BE0170">
              <w:rPr>
                <w:rFonts w:ascii="Calibri" w:eastAsia="Calibri" w:hAnsi="Calibri" w:cs="Calibri"/>
                <w:color w:val="000000" w:themeColor="text1"/>
                <w:sz w:val="18"/>
                <w:szCs w:val="18"/>
                <w:lang w:val="en-GB"/>
              </w:rPr>
              <w:t>-</w:t>
            </w:r>
          </w:p>
        </w:tc>
        <w:tc>
          <w:tcPr>
            <w:tcW w:w="690" w:type="dxa"/>
            <w:tcBorders>
              <w:top w:val="single" w:sz="6" w:space="0" w:color="A6A6A6" w:themeColor="background1" w:themeShade="A6"/>
              <w:left w:val="single" w:sz="6" w:space="0" w:color="BFBFBF" w:themeColor="background1" w:themeShade="BF"/>
              <w:bottom w:val="single" w:sz="6" w:space="0" w:color="BFBFBF" w:themeColor="background1" w:themeShade="BF"/>
              <w:right w:val="single" w:sz="6" w:space="0" w:color="BFBFBF" w:themeColor="background1" w:themeShade="BF"/>
            </w:tcBorders>
            <w:tcMar>
              <w:left w:w="105" w:type="dxa"/>
              <w:right w:w="105" w:type="dxa"/>
            </w:tcMar>
            <w:vAlign w:val="center"/>
          </w:tcPr>
          <w:p w14:paraId="7BB09AAA" w14:textId="79A96CAB" w:rsidR="77BE0170" w:rsidRDefault="77BE0170" w:rsidP="77BE0170">
            <w:pPr>
              <w:spacing w:after="0" w:line="240" w:lineRule="auto"/>
              <w:jc w:val="center"/>
              <w:rPr>
                <w:rFonts w:ascii="Calibri" w:eastAsia="Calibri" w:hAnsi="Calibri" w:cs="Calibri"/>
                <w:color w:val="000000" w:themeColor="text1"/>
                <w:sz w:val="18"/>
                <w:szCs w:val="18"/>
              </w:rPr>
            </w:pPr>
            <w:r w:rsidRPr="77BE0170">
              <w:rPr>
                <w:rFonts w:ascii="Calibri" w:eastAsia="Calibri" w:hAnsi="Calibri" w:cs="Calibri"/>
                <w:color w:val="000000" w:themeColor="text1"/>
                <w:sz w:val="18"/>
                <w:szCs w:val="18"/>
                <w:lang w:val="en-GB"/>
              </w:rPr>
              <w:t>-</w:t>
            </w:r>
          </w:p>
        </w:tc>
      </w:tr>
      <w:tr w:rsidR="77BE0170" w14:paraId="6D080421" w14:textId="77777777" w:rsidTr="77BE0170">
        <w:trPr>
          <w:trHeight w:val="555"/>
        </w:trPr>
        <w:tc>
          <w:tcPr>
            <w:tcW w:w="840" w:type="dxa"/>
            <w:vMerge/>
            <w:tcBorders>
              <w:top w:val="single" w:sz="0" w:space="0" w:color="A6A6A6" w:themeColor="background1" w:themeShade="A6"/>
              <w:left w:val="single" w:sz="0" w:space="0" w:color="BFBFBF" w:themeColor="background1" w:themeShade="BF"/>
              <w:bottom w:val="single" w:sz="0" w:space="0" w:color="A6A6A6" w:themeColor="background1" w:themeShade="A6"/>
              <w:right w:val="single" w:sz="0" w:space="0" w:color="BFBFBF" w:themeColor="background1" w:themeShade="BF"/>
            </w:tcBorders>
            <w:vAlign w:val="center"/>
          </w:tcPr>
          <w:p w14:paraId="444B367B" w14:textId="77777777" w:rsidR="00C90369" w:rsidRDefault="00C90369"/>
        </w:tc>
        <w:tc>
          <w:tcPr>
            <w:tcW w:w="1125" w:type="dxa"/>
            <w:tcBorders>
              <w:top w:val="single" w:sz="6" w:space="0" w:color="BFBFBF" w:themeColor="background1" w:themeShade="BF"/>
              <w:left w:val="nil"/>
              <w:bottom w:val="single" w:sz="6" w:space="0" w:color="A6A6A6" w:themeColor="background1" w:themeShade="A6"/>
              <w:right w:val="single" w:sz="6" w:space="0" w:color="BFBFBF" w:themeColor="background1" w:themeShade="BF"/>
            </w:tcBorders>
            <w:tcMar>
              <w:left w:w="105" w:type="dxa"/>
              <w:right w:w="105" w:type="dxa"/>
            </w:tcMar>
            <w:vAlign w:val="center"/>
          </w:tcPr>
          <w:p w14:paraId="76ACA328" w14:textId="4546AC81" w:rsidR="77BE0170" w:rsidRDefault="77BE0170" w:rsidP="77BE0170">
            <w:pPr>
              <w:spacing w:after="0" w:line="240" w:lineRule="auto"/>
              <w:jc w:val="center"/>
              <w:rPr>
                <w:rFonts w:ascii="Calibri" w:eastAsia="Calibri" w:hAnsi="Calibri" w:cs="Calibri"/>
                <w:color w:val="000000" w:themeColor="text1"/>
                <w:sz w:val="18"/>
                <w:szCs w:val="18"/>
              </w:rPr>
            </w:pPr>
            <w:r w:rsidRPr="77BE0170">
              <w:rPr>
                <w:rFonts w:ascii="Calibri" w:eastAsia="Calibri" w:hAnsi="Calibri" w:cs="Calibri"/>
                <w:color w:val="000000" w:themeColor="text1"/>
                <w:sz w:val="18"/>
                <w:szCs w:val="18"/>
                <w:lang w:val="en-GB"/>
              </w:rPr>
              <w:t>Δ Peak Time (min)</w:t>
            </w:r>
          </w:p>
        </w:tc>
        <w:tc>
          <w:tcPr>
            <w:tcW w:w="555" w:type="dxa"/>
            <w:tcBorders>
              <w:top w:val="single" w:sz="6" w:space="0" w:color="BFBFBF" w:themeColor="background1" w:themeShade="BF"/>
              <w:left w:val="single" w:sz="6" w:space="0" w:color="BFBFBF" w:themeColor="background1" w:themeShade="BF"/>
              <w:bottom w:val="single" w:sz="6" w:space="0" w:color="A6A6A6" w:themeColor="background1" w:themeShade="A6"/>
              <w:right w:val="single" w:sz="6" w:space="0" w:color="BFBFBF" w:themeColor="background1" w:themeShade="BF"/>
            </w:tcBorders>
            <w:tcMar>
              <w:left w:w="105" w:type="dxa"/>
              <w:right w:w="105" w:type="dxa"/>
            </w:tcMar>
            <w:vAlign w:val="center"/>
          </w:tcPr>
          <w:p w14:paraId="7680BE67" w14:textId="58704752" w:rsidR="77BE0170" w:rsidRDefault="77BE0170" w:rsidP="77BE0170">
            <w:pPr>
              <w:spacing w:after="0" w:line="240" w:lineRule="auto"/>
              <w:jc w:val="center"/>
              <w:rPr>
                <w:rFonts w:ascii="Calibri" w:eastAsia="Calibri" w:hAnsi="Calibri" w:cs="Calibri"/>
                <w:color w:val="000000" w:themeColor="text1"/>
                <w:sz w:val="18"/>
                <w:szCs w:val="18"/>
              </w:rPr>
            </w:pPr>
            <w:r w:rsidRPr="77BE0170">
              <w:rPr>
                <w:rFonts w:ascii="Calibri" w:eastAsia="Calibri" w:hAnsi="Calibri" w:cs="Calibri"/>
                <w:color w:val="000000" w:themeColor="text1"/>
                <w:sz w:val="18"/>
                <w:szCs w:val="18"/>
                <w:lang w:val="en-GB"/>
              </w:rPr>
              <w:t>-</w:t>
            </w:r>
          </w:p>
        </w:tc>
        <w:tc>
          <w:tcPr>
            <w:tcW w:w="705" w:type="dxa"/>
            <w:tcBorders>
              <w:top w:val="single" w:sz="6" w:space="0" w:color="BFBFBF" w:themeColor="background1" w:themeShade="BF"/>
              <w:left w:val="single" w:sz="6" w:space="0" w:color="BFBFBF" w:themeColor="background1" w:themeShade="BF"/>
              <w:bottom w:val="single" w:sz="6" w:space="0" w:color="A6A6A6" w:themeColor="background1" w:themeShade="A6"/>
              <w:right w:val="single" w:sz="6" w:space="0" w:color="BFBFBF" w:themeColor="background1" w:themeShade="BF"/>
            </w:tcBorders>
            <w:tcMar>
              <w:left w:w="105" w:type="dxa"/>
              <w:right w:w="105" w:type="dxa"/>
            </w:tcMar>
            <w:vAlign w:val="center"/>
          </w:tcPr>
          <w:p w14:paraId="6B80BD1D" w14:textId="046DD84E" w:rsidR="77BE0170" w:rsidRDefault="77BE0170" w:rsidP="77BE0170">
            <w:pPr>
              <w:spacing w:after="0" w:line="240" w:lineRule="auto"/>
              <w:jc w:val="center"/>
              <w:rPr>
                <w:rFonts w:ascii="Calibri" w:eastAsia="Calibri" w:hAnsi="Calibri" w:cs="Calibri"/>
                <w:color w:val="000000" w:themeColor="text1"/>
                <w:sz w:val="18"/>
                <w:szCs w:val="18"/>
              </w:rPr>
            </w:pPr>
            <w:r w:rsidRPr="77BE0170">
              <w:rPr>
                <w:rFonts w:ascii="Calibri" w:eastAsia="Calibri" w:hAnsi="Calibri" w:cs="Calibri"/>
                <w:color w:val="000000" w:themeColor="text1"/>
                <w:sz w:val="18"/>
                <w:szCs w:val="18"/>
                <w:lang w:val="en-GB"/>
              </w:rPr>
              <w:t>-</w:t>
            </w:r>
          </w:p>
        </w:tc>
        <w:tc>
          <w:tcPr>
            <w:tcW w:w="555" w:type="dxa"/>
            <w:tcBorders>
              <w:top w:val="single" w:sz="6" w:space="0" w:color="BFBFBF" w:themeColor="background1" w:themeShade="BF"/>
              <w:left w:val="single" w:sz="6" w:space="0" w:color="BFBFBF" w:themeColor="background1" w:themeShade="BF"/>
              <w:bottom w:val="single" w:sz="6" w:space="0" w:color="A6A6A6" w:themeColor="background1" w:themeShade="A6"/>
              <w:right w:val="single" w:sz="6" w:space="0" w:color="BFBFBF" w:themeColor="background1" w:themeShade="BF"/>
            </w:tcBorders>
            <w:tcMar>
              <w:left w:w="105" w:type="dxa"/>
              <w:right w:w="105" w:type="dxa"/>
            </w:tcMar>
            <w:vAlign w:val="center"/>
          </w:tcPr>
          <w:p w14:paraId="486C2A95" w14:textId="670EE476" w:rsidR="77BE0170" w:rsidRDefault="77BE0170" w:rsidP="77BE0170">
            <w:pPr>
              <w:spacing w:after="0" w:line="240" w:lineRule="auto"/>
              <w:jc w:val="center"/>
              <w:rPr>
                <w:rFonts w:ascii="Calibri" w:eastAsia="Calibri" w:hAnsi="Calibri" w:cs="Calibri"/>
                <w:color w:val="000000" w:themeColor="text1"/>
                <w:sz w:val="18"/>
                <w:szCs w:val="18"/>
              </w:rPr>
            </w:pPr>
            <w:r w:rsidRPr="77BE0170">
              <w:rPr>
                <w:rFonts w:ascii="Calibri" w:eastAsia="Calibri" w:hAnsi="Calibri" w:cs="Calibri"/>
                <w:color w:val="000000" w:themeColor="text1"/>
                <w:sz w:val="18"/>
                <w:szCs w:val="18"/>
                <w:lang w:val="en-GB"/>
              </w:rPr>
              <w:t>-</w:t>
            </w:r>
          </w:p>
        </w:tc>
        <w:tc>
          <w:tcPr>
            <w:tcW w:w="705" w:type="dxa"/>
            <w:tcBorders>
              <w:top w:val="single" w:sz="6" w:space="0" w:color="BFBFBF" w:themeColor="background1" w:themeShade="BF"/>
              <w:left w:val="single" w:sz="6" w:space="0" w:color="BFBFBF" w:themeColor="background1" w:themeShade="BF"/>
              <w:bottom w:val="single" w:sz="6" w:space="0" w:color="A6A6A6" w:themeColor="background1" w:themeShade="A6"/>
              <w:right w:val="single" w:sz="6" w:space="0" w:color="BFBFBF" w:themeColor="background1" w:themeShade="BF"/>
            </w:tcBorders>
            <w:tcMar>
              <w:left w:w="105" w:type="dxa"/>
              <w:right w:w="105" w:type="dxa"/>
            </w:tcMar>
            <w:vAlign w:val="center"/>
          </w:tcPr>
          <w:p w14:paraId="3CDD7862" w14:textId="05F45840" w:rsidR="77BE0170" w:rsidRDefault="77BE0170" w:rsidP="77BE0170">
            <w:pPr>
              <w:spacing w:after="0" w:line="240" w:lineRule="auto"/>
              <w:jc w:val="center"/>
              <w:rPr>
                <w:rFonts w:ascii="Calibri" w:eastAsia="Calibri" w:hAnsi="Calibri" w:cs="Calibri"/>
                <w:color w:val="000000" w:themeColor="text1"/>
                <w:sz w:val="18"/>
                <w:szCs w:val="18"/>
              </w:rPr>
            </w:pPr>
            <w:r w:rsidRPr="77BE0170">
              <w:rPr>
                <w:rFonts w:ascii="Calibri" w:eastAsia="Calibri" w:hAnsi="Calibri" w:cs="Calibri"/>
                <w:color w:val="000000" w:themeColor="text1"/>
                <w:sz w:val="18"/>
                <w:szCs w:val="18"/>
                <w:lang w:val="en-GB"/>
              </w:rPr>
              <w:t>-</w:t>
            </w:r>
          </w:p>
        </w:tc>
        <w:tc>
          <w:tcPr>
            <w:tcW w:w="705" w:type="dxa"/>
            <w:tcBorders>
              <w:top w:val="single" w:sz="6" w:space="0" w:color="BFBFBF" w:themeColor="background1" w:themeShade="BF"/>
              <w:left w:val="single" w:sz="6" w:space="0" w:color="BFBFBF" w:themeColor="background1" w:themeShade="BF"/>
              <w:bottom w:val="single" w:sz="6" w:space="0" w:color="A6A6A6" w:themeColor="background1" w:themeShade="A6"/>
              <w:right w:val="single" w:sz="6" w:space="0" w:color="BFBFBF" w:themeColor="background1" w:themeShade="BF"/>
            </w:tcBorders>
            <w:tcMar>
              <w:left w:w="105" w:type="dxa"/>
              <w:right w:w="105" w:type="dxa"/>
            </w:tcMar>
            <w:vAlign w:val="center"/>
          </w:tcPr>
          <w:p w14:paraId="1BD69B76" w14:textId="68BCF7E4" w:rsidR="77BE0170" w:rsidRDefault="77BE0170" w:rsidP="77BE0170">
            <w:pPr>
              <w:spacing w:after="0" w:line="240" w:lineRule="auto"/>
              <w:jc w:val="center"/>
              <w:rPr>
                <w:rFonts w:ascii="Calibri" w:eastAsia="Calibri" w:hAnsi="Calibri" w:cs="Calibri"/>
                <w:color w:val="000000" w:themeColor="text1"/>
                <w:sz w:val="18"/>
                <w:szCs w:val="18"/>
              </w:rPr>
            </w:pPr>
            <w:r w:rsidRPr="77BE0170">
              <w:rPr>
                <w:rFonts w:ascii="Calibri" w:eastAsia="Calibri" w:hAnsi="Calibri" w:cs="Calibri"/>
                <w:color w:val="000000" w:themeColor="text1"/>
                <w:sz w:val="18"/>
                <w:szCs w:val="18"/>
                <w:lang w:val="en-GB"/>
              </w:rPr>
              <w:t>-</w:t>
            </w:r>
          </w:p>
        </w:tc>
        <w:tc>
          <w:tcPr>
            <w:tcW w:w="840" w:type="dxa"/>
            <w:tcBorders>
              <w:top w:val="single" w:sz="6" w:space="0" w:color="BFBFBF" w:themeColor="background1" w:themeShade="BF"/>
              <w:left w:val="single" w:sz="6" w:space="0" w:color="BFBFBF" w:themeColor="background1" w:themeShade="BF"/>
              <w:bottom w:val="single" w:sz="6" w:space="0" w:color="A6A6A6" w:themeColor="background1" w:themeShade="A6"/>
              <w:right w:val="single" w:sz="6" w:space="0" w:color="BFBFBF" w:themeColor="background1" w:themeShade="BF"/>
            </w:tcBorders>
            <w:shd w:val="clear" w:color="auto" w:fill="FFE699"/>
            <w:tcMar>
              <w:left w:w="105" w:type="dxa"/>
              <w:right w:w="105" w:type="dxa"/>
            </w:tcMar>
            <w:vAlign w:val="center"/>
          </w:tcPr>
          <w:p w14:paraId="176A9D27" w14:textId="296DBBE8" w:rsidR="77BE0170" w:rsidRDefault="77BE0170" w:rsidP="77BE0170">
            <w:pPr>
              <w:spacing w:after="0" w:line="240" w:lineRule="auto"/>
              <w:jc w:val="center"/>
              <w:rPr>
                <w:rFonts w:ascii="Calibri" w:eastAsia="Calibri" w:hAnsi="Calibri" w:cs="Calibri"/>
                <w:color w:val="000000" w:themeColor="text1"/>
                <w:sz w:val="18"/>
                <w:szCs w:val="18"/>
              </w:rPr>
            </w:pPr>
            <w:r w:rsidRPr="77BE0170">
              <w:rPr>
                <w:rFonts w:ascii="Calibri" w:eastAsia="Calibri" w:hAnsi="Calibri" w:cs="Calibri"/>
                <w:color w:val="000000" w:themeColor="text1"/>
                <w:sz w:val="18"/>
                <w:szCs w:val="18"/>
                <w:lang w:val="en-GB"/>
              </w:rPr>
              <w:t>30</w:t>
            </w:r>
          </w:p>
        </w:tc>
        <w:tc>
          <w:tcPr>
            <w:tcW w:w="555" w:type="dxa"/>
            <w:tcBorders>
              <w:top w:val="single" w:sz="6" w:space="0" w:color="BFBFBF" w:themeColor="background1" w:themeShade="BF"/>
              <w:left w:val="single" w:sz="6" w:space="0" w:color="BFBFBF" w:themeColor="background1" w:themeShade="BF"/>
              <w:bottom w:val="single" w:sz="6" w:space="0" w:color="A6A6A6" w:themeColor="background1" w:themeShade="A6"/>
              <w:right w:val="single" w:sz="6" w:space="0" w:color="BFBFBF" w:themeColor="background1" w:themeShade="BF"/>
            </w:tcBorders>
            <w:tcMar>
              <w:left w:w="105" w:type="dxa"/>
              <w:right w:w="105" w:type="dxa"/>
            </w:tcMar>
            <w:vAlign w:val="center"/>
          </w:tcPr>
          <w:p w14:paraId="05504795" w14:textId="4336E824" w:rsidR="77BE0170" w:rsidRDefault="77BE0170" w:rsidP="77BE0170">
            <w:pPr>
              <w:spacing w:after="0" w:line="240" w:lineRule="auto"/>
              <w:jc w:val="center"/>
              <w:rPr>
                <w:rFonts w:ascii="Calibri" w:eastAsia="Calibri" w:hAnsi="Calibri" w:cs="Calibri"/>
                <w:color w:val="000000" w:themeColor="text1"/>
                <w:sz w:val="18"/>
                <w:szCs w:val="18"/>
              </w:rPr>
            </w:pPr>
            <w:r w:rsidRPr="77BE0170">
              <w:rPr>
                <w:rFonts w:ascii="Calibri" w:eastAsia="Calibri" w:hAnsi="Calibri" w:cs="Calibri"/>
                <w:color w:val="000000" w:themeColor="text1"/>
                <w:sz w:val="18"/>
                <w:szCs w:val="18"/>
                <w:lang w:val="en-GB"/>
              </w:rPr>
              <w:t>-</w:t>
            </w:r>
          </w:p>
        </w:tc>
        <w:tc>
          <w:tcPr>
            <w:tcW w:w="945" w:type="dxa"/>
            <w:tcBorders>
              <w:top w:val="single" w:sz="6" w:space="0" w:color="BFBFBF" w:themeColor="background1" w:themeShade="BF"/>
              <w:left w:val="single" w:sz="6" w:space="0" w:color="BFBFBF" w:themeColor="background1" w:themeShade="BF"/>
              <w:bottom w:val="single" w:sz="6" w:space="0" w:color="A6A6A6" w:themeColor="background1" w:themeShade="A6"/>
              <w:right w:val="single" w:sz="6" w:space="0" w:color="BFBFBF" w:themeColor="background1" w:themeShade="BF"/>
            </w:tcBorders>
            <w:tcMar>
              <w:left w:w="105" w:type="dxa"/>
              <w:right w:w="105" w:type="dxa"/>
            </w:tcMar>
            <w:vAlign w:val="center"/>
          </w:tcPr>
          <w:p w14:paraId="3EA1C7EB" w14:textId="583EFE11" w:rsidR="77BE0170" w:rsidRDefault="77BE0170" w:rsidP="77BE0170">
            <w:pPr>
              <w:spacing w:after="0" w:line="240" w:lineRule="auto"/>
              <w:jc w:val="center"/>
              <w:rPr>
                <w:rFonts w:ascii="Calibri" w:eastAsia="Calibri" w:hAnsi="Calibri" w:cs="Calibri"/>
                <w:color w:val="000000" w:themeColor="text1"/>
                <w:sz w:val="18"/>
                <w:szCs w:val="18"/>
              </w:rPr>
            </w:pPr>
            <w:r w:rsidRPr="77BE0170">
              <w:rPr>
                <w:rFonts w:ascii="Calibri" w:eastAsia="Calibri" w:hAnsi="Calibri" w:cs="Calibri"/>
                <w:color w:val="000000" w:themeColor="text1"/>
                <w:sz w:val="18"/>
                <w:szCs w:val="18"/>
                <w:lang w:val="en-GB"/>
              </w:rPr>
              <w:t>-</w:t>
            </w:r>
          </w:p>
        </w:tc>
        <w:tc>
          <w:tcPr>
            <w:tcW w:w="690" w:type="dxa"/>
            <w:tcBorders>
              <w:top w:val="single" w:sz="6" w:space="0" w:color="BFBFBF" w:themeColor="background1" w:themeShade="BF"/>
              <w:left w:val="single" w:sz="6" w:space="0" w:color="BFBFBF" w:themeColor="background1" w:themeShade="BF"/>
              <w:bottom w:val="single" w:sz="6" w:space="0" w:color="A6A6A6" w:themeColor="background1" w:themeShade="A6"/>
              <w:right w:val="single" w:sz="6" w:space="0" w:color="BFBFBF" w:themeColor="background1" w:themeShade="BF"/>
            </w:tcBorders>
            <w:tcMar>
              <w:left w:w="105" w:type="dxa"/>
              <w:right w:w="105" w:type="dxa"/>
            </w:tcMar>
            <w:vAlign w:val="center"/>
          </w:tcPr>
          <w:p w14:paraId="664162B6" w14:textId="66C0575F" w:rsidR="77BE0170" w:rsidRDefault="77BE0170" w:rsidP="77BE0170">
            <w:pPr>
              <w:spacing w:after="0" w:line="240" w:lineRule="auto"/>
              <w:jc w:val="center"/>
              <w:rPr>
                <w:rFonts w:ascii="Calibri" w:eastAsia="Calibri" w:hAnsi="Calibri" w:cs="Calibri"/>
                <w:color w:val="000000" w:themeColor="text1"/>
                <w:sz w:val="18"/>
                <w:szCs w:val="18"/>
              </w:rPr>
            </w:pPr>
            <w:r w:rsidRPr="77BE0170">
              <w:rPr>
                <w:rFonts w:ascii="Calibri" w:eastAsia="Calibri" w:hAnsi="Calibri" w:cs="Calibri"/>
                <w:color w:val="000000" w:themeColor="text1"/>
                <w:sz w:val="18"/>
                <w:szCs w:val="18"/>
                <w:lang w:val="en-GB"/>
              </w:rPr>
              <w:t>-</w:t>
            </w:r>
          </w:p>
        </w:tc>
        <w:tc>
          <w:tcPr>
            <w:tcW w:w="690" w:type="dxa"/>
            <w:tcBorders>
              <w:top w:val="single" w:sz="6" w:space="0" w:color="BFBFBF" w:themeColor="background1" w:themeShade="BF"/>
              <w:left w:val="single" w:sz="6" w:space="0" w:color="BFBFBF" w:themeColor="background1" w:themeShade="BF"/>
              <w:bottom w:val="single" w:sz="6" w:space="0" w:color="A6A6A6" w:themeColor="background1" w:themeShade="A6"/>
              <w:right w:val="single" w:sz="6" w:space="0" w:color="BFBFBF" w:themeColor="background1" w:themeShade="BF"/>
            </w:tcBorders>
            <w:tcMar>
              <w:left w:w="105" w:type="dxa"/>
              <w:right w:w="105" w:type="dxa"/>
            </w:tcMar>
            <w:vAlign w:val="center"/>
          </w:tcPr>
          <w:p w14:paraId="578E457B" w14:textId="680FE3A2" w:rsidR="77BE0170" w:rsidRDefault="77BE0170" w:rsidP="77BE0170">
            <w:pPr>
              <w:spacing w:after="0" w:line="240" w:lineRule="auto"/>
              <w:jc w:val="center"/>
              <w:rPr>
                <w:rFonts w:ascii="Calibri" w:eastAsia="Calibri" w:hAnsi="Calibri" w:cs="Calibri"/>
                <w:color w:val="000000" w:themeColor="text1"/>
                <w:sz w:val="18"/>
                <w:szCs w:val="18"/>
              </w:rPr>
            </w:pPr>
            <w:r w:rsidRPr="77BE0170">
              <w:rPr>
                <w:rFonts w:ascii="Calibri" w:eastAsia="Calibri" w:hAnsi="Calibri" w:cs="Calibri"/>
                <w:color w:val="000000" w:themeColor="text1"/>
                <w:sz w:val="18"/>
                <w:szCs w:val="18"/>
                <w:lang w:val="en-GB"/>
              </w:rPr>
              <w:t>-</w:t>
            </w:r>
          </w:p>
        </w:tc>
      </w:tr>
    </w:tbl>
    <w:tbl>
      <w:tblPr>
        <w:tblStyle w:val="TableGrid"/>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410"/>
        <w:gridCol w:w="2970"/>
        <w:gridCol w:w="4620"/>
      </w:tblGrid>
      <w:tr w:rsidR="77BE0170" w14:paraId="0A19B8ED" w14:textId="77777777" w:rsidTr="77BE0170">
        <w:trPr>
          <w:trHeight w:val="555"/>
        </w:trPr>
        <w:tc>
          <w:tcPr>
            <w:tcW w:w="1410" w:type="dxa"/>
            <w:tcBorders>
              <w:top w:val="nil"/>
              <w:left w:val="nil"/>
              <w:bottom w:val="nil"/>
              <w:right w:val="nil"/>
            </w:tcBorders>
            <w:tcMar>
              <w:left w:w="105" w:type="dxa"/>
              <w:right w:w="105" w:type="dxa"/>
            </w:tcMar>
          </w:tcPr>
          <w:p w14:paraId="5EFE3407" w14:textId="0957AA4D" w:rsidR="77BE0170" w:rsidRDefault="77BE0170" w:rsidP="77BE0170">
            <w:pPr>
              <w:spacing w:line="259" w:lineRule="auto"/>
              <w:jc w:val="center"/>
              <w:rPr>
                <w:rFonts w:ascii="Calibri" w:eastAsia="Calibri" w:hAnsi="Calibri" w:cs="Calibri"/>
              </w:rPr>
            </w:pPr>
          </w:p>
        </w:tc>
        <w:tc>
          <w:tcPr>
            <w:tcW w:w="2970" w:type="dxa"/>
            <w:tcBorders>
              <w:top w:val="nil"/>
              <w:left w:val="nil"/>
              <w:bottom w:val="nil"/>
              <w:right w:val="nil"/>
            </w:tcBorders>
            <w:tcMar>
              <w:left w:w="105" w:type="dxa"/>
              <w:right w:w="105" w:type="dxa"/>
            </w:tcMar>
            <w:vAlign w:val="center"/>
          </w:tcPr>
          <w:p w14:paraId="679D08F2" w14:textId="198E4DDF" w:rsidR="77BE0170" w:rsidRDefault="77BE0170" w:rsidP="77BE0170">
            <w:pPr>
              <w:spacing w:line="259" w:lineRule="auto"/>
              <w:jc w:val="center"/>
              <w:rPr>
                <w:rFonts w:ascii="Calibri" w:eastAsia="Calibri" w:hAnsi="Calibri" w:cs="Calibri"/>
              </w:rPr>
            </w:pPr>
            <w:r>
              <w:rPr>
                <w:noProof/>
                <w:lang w:eastAsia="en-IE"/>
              </w:rPr>
              <w:drawing>
                <wp:inline distT="0" distB="0" distL="0" distR="0" wp14:anchorId="4306A1B7" wp14:editId="409D9286">
                  <wp:extent cx="581025" cy="238125"/>
                  <wp:effectExtent l="0" t="0" r="0" b="0"/>
                  <wp:docPr id="386278366" name="Picture 386278366" descr="Text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581025" cy="238125"/>
                          </a:xfrm>
                          <a:prstGeom prst="rect">
                            <a:avLst/>
                          </a:prstGeom>
                        </pic:spPr>
                      </pic:pic>
                    </a:graphicData>
                  </a:graphic>
                </wp:inline>
              </w:drawing>
            </w:r>
            <w:r>
              <w:rPr>
                <w:noProof/>
                <w:lang w:eastAsia="en-IE"/>
              </w:rPr>
              <w:drawing>
                <wp:inline distT="0" distB="0" distL="0" distR="0" wp14:anchorId="7C93FAA1" wp14:editId="41A08923">
                  <wp:extent cx="466725" cy="238125"/>
                  <wp:effectExtent l="0" t="0" r="0" b="0"/>
                  <wp:docPr id="98122923" name="Picture 98122923" descr="Text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466725" cy="238125"/>
                          </a:xfrm>
                          <a:prstGeom prst="rect">
                            <a:avLst/>
                          </a:prstGeom>
                        </pic:spPr>
                      </pic:pic>
                    </a:graphicData>
                  </a:graphic>
                </wp:inline>
              </w:drawing>
            </w:r>
            <w:r>
              <w:rPr>
                <w:noProof/>
                <w:lang w:eastAsia="en-IE"/>
              </w:rPr>
              <w:drawing>
                <wp:inline distT="0" distB="0" distL="0" distR="0" wp14:anchorId="6B326063" wp14:editId="03DBF60F">
                  <wp:extent cx="1714500" cy="247650"/>
                  <wp:effectExtent l="0" t="0" r="0" b="0"/>
                  <wp:docPr id="1915497169" name="Picture 1915497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1714500" cy="247650"/>
                          </a:xfrm>
                          <a:prstGeom prst="rect">
                            <a:avLst/>
                          </a:prstGeom>
                        </pic:spPr>
                      </pic:pic>
                    </a:graphicData>
                  </a:graphic>
                </wp:inline>
              </w:drawing>
            </w:r>
          </w:p>
        </w:tc>
        <w:tc>
          <w:tcPr>
            <w:tcW w:w="4620" w:type="dxa"/>
            <w:tcBorders>
              <w:top w:val="nil"/>
              <w:left w:val="nil"/>
              <w:bottom w:val="nil"/>
              <w:right w:val="nil"/>
            </w:tcBorders>
            <w:tcMar>
              <w:left w:w="105" w:type="dxa"/>
              <w:right w:w="105" w:type="dxa"/>
            </w:tcMar>
            <w:vAlign w:val="center"/>
          </w:tcPr>
          <w:p w14:paraId="4CD4B791" w14:textId="0614D0F3" w:rsidR="77BE0170" w:rsidRDefault="77BE0170" w:rsidP="77BE0170">
            <w:pPr>
              <w:spacing w:line="259" w:lineRule="auto"/>
              <w:rPr>
                <w:rFonts w:ascii="Calibri" w:eastAsia="Calibri" w:hAnsi="Calibri" w:cs="Calibri"/>
              </w:rPr>
            </w:pPr>
            <w:r w:rsidRPr="77BE0170">
              <w:rPr>
                <w:rFonts w:ascii="Calibri" w:eastAsia="Calibri" w:hAnsi="Calibri" w:cs="Calibri"/>
                <w:b/>
                <w:bCs/>
              </w:rPr>
              <w:t>Absolute Difference</w:t>
            </w:r>
          </w:p>
        </w:tc>
      </w:tr>
      <w:tr w:rsidR="77BE0170" w14:paraId="3594EAAF" w14:textId="77777777" w:rsidTr="77BE0170">
        <w:trPr>
          <w:trHeight w:val="555"/>
        </w:trPr>
        <w:tc>
          <w:tcPr>
            <w:tcW w:w="1410" w:type="dxa"/>
            <w:tcBorders>
              <w:top w:val="nil"/>
              <w:left w:val="nil"/>
              <w:bottom w:val="nil"/>
              <w:right w:val="nil"/>
            </w:tcBorders>
            <w:tcMar>
              <w:left w:w="105" w:type="dxa"/>
              <w:right w:w="105" w:type="dxa"/>
            </w:tcMar>
          </w:tcPr>
          <w:p w14:paraId="39B60BD4" w14:textId="00BBFF3B" w:rsidR="77BE0170" w:rsidRDefault="77BE0170" w:rsidP="77BE0170">
            <w:pPr>
              <w:spacing w:line="259" w:lineRule="auto"/>
              <w:jc w:val="center"/>
              <w:rPr>
                <w:rFonts w:ascii="Calibri" w:eastAsia="Calibri" w:hAnsi="Calibri" w:cs="Calibri"/>
              </w:rPr>
            </w:pPr>
          </w:p>
        </w:tc>
        <w:tc>
          <w:tcPr>
            <w:tcW w:w="2970" w:type="dxa"/>
            <w:tcBorders>
              <w:top w:val="nil"/>
              <w:left w:val="nil"/>
              <w:bottom w:val="nil"/>
              <w:right w:val="nil"/>
            </w:tcBorders>
            <w:tcMar>
              <w:left w:w="105" w:type="dxa"/>
              <w:right w:w="105" w:type="dxa"/>
            </w:tcMar>
          </w:tcPr>
          <w:p w14:paraId="4EC58A22" w14:textId="1C0190E2" w:rsidR="77BE0170" w:rsidRDefault="77BE0170" w:rsidP="77BE0170">
            <w:pPr>
              <w:spacing w:line="259" w:lineRule="auto"/>
              <w:jc w:val="center"/>
              <w:rPr>
                <w:rFonts w:ascii="Calibri" w:eastAsia="Calibri" w:hAnsi="Calibri" w:cs="Calibri"/>
              </w:rPr>
            </w:pPr>
            <w:r>
              <w:rPr>
                <w:noProof/>
                <w:lang w:eastAsia="en-IE"/>
              </w:rPr>
              <w:drawing>
                <wp:inline distT="0" distB="0" distL="0" distR="0" wp14:anchorId="0078486F" wp14:editId="573C40AB">
                  <wp:extent cx="581025" cy="238125"/>
                  <wp:effectExtent l="0" t="0" r="0" b="0"/>
                  <wp:docPr id="1282181895" name="Picture 1282181895" descr="Text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581025" cy="238125"/>
                          </a:xfrm>
                          <a:prstGeom prst="rect">
                            <a:avLst/>
                          </a:prstGeom>
                        </pic:spPr>
                      </pic:pic>
                    </a:graphicData>
                  </a:graphic>
                </wp:inline>
              </w:drawing>
            </w:r>
            <w:r>
              <w:rPr>
                <w:noProof/>
                <w:lang w:eastAsia="en-IE"/>
              </w:rPr>
              <w:drawing>
                <wp:inline distT="0" distB="0" distL="0" distR="0" wp14:anchorId="42C07045" wp14:editId="0E3FDE98">
                  <wp:extent cx="552450" cy="238125"/>
                  <wp:effectExtent l="0" t="0" r="0" b="0"/>
                  <wp:docPr id="1281654851" name="Picture 1281654851" descr="Text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552450" cy="238125"/>
                          </a:xfrm>
                          <a:prstGeom prst="rect">
                            <a:avLst/>
                          </a:prstGeom>
                        </pic:spPr>
                      </pic:pic>
                    </a:graphicData>
                  </a:graphic>
                </wp:inline>
              </w:drawing>
            </w:r>
            <w:r>
              <w:rPr>
                <w:noProof/>
                <w:lang w:eastAsia="en-IE"/>
              </w:rPr>
              <w:drawing>
                <wp:inline distT="0" distB="0" distL="0" distR="0" wp14:anchorId="32584173" wp14:editId="2CEAE368">
                  <wp:extent cx="1685925" cy="247650"/>
                  <wp:effectExtent l="0" t="0" r="0" b="0"/>
                  <wp:docPr id="365938641" name="Picture 365938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a:off x="0" y="0"/>
                            <a:ext cx="1685925" cy="247650"/>
                          </a:xfrm>
                          <a:prstGeom prst="rect">
                            <a:avLst/>
                          </a:prstGeom>
                        </pic:spPr>
                      </pic:pic>
                    </a:graphicData>
                  </a:graphic>
                </wp:inline>
              </w:drawing>
            </w:r>
          </w:p>
        </w:tc>
        <w:tc>
          <w:tcPr>
            <w:tcW w:w="4620" w:type="dxa"/>
            <w:tcBorders>
              <w:top w:val="nil"/>
              <w:left w:val="nil"/>
              <w:bottom w:val="nil"/>
              <w:right w:val="nil"/>
            </w:tcBorders>
            <w:tcMar>
              <w:left w:w="105" w:type="dxa"/>
              <w:right w:w="105" w:type="dxa"/>
            </w:tcMar>
          </w:tcPr>
          <w:p w14:paraId="02D1AE81" w14:textId="7194EFBE" w:rsidR="77BE0170" w:rsidRDefault="77BE0170" w:rsidP="77BE0170">
            <w:pPr>
              <w:spacing w:line="259" w:lineRule="auto"/>
              <w:rPr>
                <w:rFonts w:ascii="Calibri" w:eastAsia="Calibri" w:hAnsi="Calibri" w:cs="Calibri"/>
              </w:rPr>
            </w:pPr>
            <w:r w:rsidRPr="77BE0170">
              <w:rPr>
                <w:rFonts w:ascii="Calibri" w:eastAsia="Calibri" w:hAnsi="Calibri" w:cs="Calibri"/>
                <w:b/>
                <w:bCs/>
              </w:rPr>
              <w:t>Timing Difference Forecast and Observed Max TWLS</w:t>
            </w:r>
          </w:p>
        </w:tc>
      </w:tr>
    </w:tbl>
    <w:p w14:paraId="266C32B0" w14:textId="66905535" w:rsidR="7A0A5246" w:rsidRDefault="7A0A5246" w:rsidP="77BE0170">
      <w:pPr>
        <w:rPr>
          <w:rFonts w:ascii="Calibri" w:eastAsia="Calibri" w:hAnsi="Calibri" w:cs="Calibri"/>
          <w:color w:val="000000" w:themeColor="text1"/>
        </w:rPr>
      </w:pPr>
      <w:r>
        <w:rPr>
          <w:noProof/>
          <w:lang w:eastAsia="en-IE"/>
        </w:rPr>
        <w:drawing>
          <wp:inline distT="0" distB="0" distL="0" distR="0" wp14:anchorId="19AB5A56" wp14:editId="3045FFBF">
            <wp:extent cx="4572000" cy="219075"/>
            <wp:effectExtent l="0" t="0" r="0" b="0"/>
            <wp:docPr id="1657303553" name="Picture 1657303553" descr="Text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4572000" cy="219075"/>
                    </a:xfrm>
                    <a:prstGeom prst="rect">
                      <a:avLst/>
                    </a:prstGeom>
                  </pic:spPr>
                </pic:pic>
              </a:graphicData>
            </a:graphic>
          </wp:inline>
        </w:drawing>
      </w:r>
    </w:p>
    <w:p w14:paraId="44DF4090" w14:textId="4728F0D1" w:rsidR="77BE0170" w:rsidRDefault="77BE0170" w:rsidP="77BE0170">
      <w:pPr>
        <w:rPr>
          <w:rFonts w:ascii="Calibri" w:eastAsia="Calibri" w:hAnsi="Calibri" w:cs="Calibri"/>
          <w:color w:val="000000" w:themeColor="text1"/>
        </w:rPr>
      </w:pPr>
    </w:p>
    <w:p w14:paraId="5C9F61D9" w14:textId="7661F4FA" w:rsidR="77BE0170" w:rsidRDefault="77BE0170">
      <w:r>
        <w:br w:type="page"/>
      </w:r>
    </w:p>
    <w:p w14:paraId="54437E4F" w14:textId="06258FB9" w:rsidR="35F901DB" w:rsidRDefault="35F901DB" w:rsidP="77BE0170">
      <w:pPr>
        <w:spacing w:beforeAutospacing="1" w:after="120" w:line="240" w:lineRule="auto"/>
        <w:jc w:val="both"/>
        <w:rPr>
          <w:rFonts w:ascii="Calibri Light" w:eastAsia="Calibri Light" w:hAnsi="Calibri Light" w:cs="Calibri Light"/>
          <w:color w:val="2F5496" w:themeColor="accent1" w:themeShade="BF"/>
          <w:sz w:val="24"/>
          <w:szCs w:val="24"/>
        </w:rPr>
      </w:pPr>
      <w:r w:rsidRPr="77BE0170">
        <w:rPr>
          <w:rFonts w:ascii="Calibri Light" w:eastAsia="Calibri Light" w:hAnsi="Calibri Light" w:cs="Calibri Light"/>
          <w:b/>
          <w:bCs/>
          <w:color w:val="2F5496" w:themeColor="accent1" w:themeShade="BF"/>
          <w:sz w:val="24"/>
          <w:szCs w:val="24"/>
          <w:lang w:val="en-GB"/>
        </w:rPr>
        <w:lastRenderedPageBreak/>
        <w:t xml:space="preserve">Appendix 3: </w:t>
      </w:r>
      <w:r w:rsidR="32CCD336" w:rsidRPr="77BE0170">
        <w:rPr>
          <w:rFonts w:ascii="Calibri Light" w:eastAsia="Calibri Light" w:hAnsi="Calibri Light" w:cs="Calibri Light"/>
          <w:b/>
          <w:bCs/>
          <w:color w:val="2F5496" w:themeColor="accent1" w:themeShade="BF"/>
          <w:sz w:val="24"/>
          <w:szCs w:val="24"/>
          <w:lang w:val="en-GB"/>
        </w:rPr>
        <w:t>Statement of Services</w:t>
      </w:r>
    </w:p>
    <w:p w14:paraId="12F293C4" w14:textId="3EFAEF9A" w:rsidR="32CCD336" w:rsidRDefault="32CCD336" w:rsidP="77BE0170">
      <w:pPr>
        <w:spacing w:beforeAutospacing="1" w:after="120" w:line="240" w:lineRule="auto"/>
        <w:jc w:val="both"/>
        <w:rPr>
          <w:rFonts w:ascii="Calibri Light" w:eastAsia="Calibri Light" w:hAnsi="Calibri Light" w:cs="Calibri Light"/>
          <w:color w:val="000000" w:themeColor="text1"/>
          <w:sz w:val="24"/>
          <w:szCs w:val="24"/>
        </w:rPr>
      </w:pPr>
      <w:r w:rsidRPr="77BE0170">
        <w:rPr>
          <w:rFonts w:ascii="Calibri Light" w:eastAsia="Calibri Light" w:hAnsi="Calibri Light" w:cs="Calibri Light"/>
          <w:color w:val="000000" w:themeColor="text1"/>
          <w:sz w:val="24"/>
          <w:szCs w:val="24"/>
          <w:lang w:val="en-US"/>
        </w:rPr>
        <w:t>The purpose of this document is to outline the services which the Flood Forecast Centre (FFC) will provide at the end of Stage 1 of the National Flood Forecast and Warning Service (NFFWS).</w:t>
      </w:r>
    </w:p>
    <w:p w14:paraId="320E05AD" w14:textId="5AD8050B" w:rsidR="32CCD336" w:rsidRDefault="32CCD336" w:rsidP="77BE0170">
      <w:pPr>
        <w:spacing w:beforeAutospacing="1" w:after="120" w:line="240" w:lineRule="auto"/>
        <w:jc w:val="both"/>
        <w:rPr>
          <w:rFonts w:ascii="Calibri Light" w:eastAsia="Calibri Light" w:hAnsi="Calibri Light" w:cs="Calibri Light"/>
          <w:color w:val="000000" w:themeColor="text1"/>
          <w:sz w:val="24"/>
          <w:szCs w:val="24"/>
        </w:rPr>
      </w:pPr>
      <w:r w:rsidRPr="77BE0170">
        <w:rPr>
          <w:rFonts w:ascii="Calibri Light" w:eastAsia="Calibri Light" w:hAnsi="Calibri Light" w:cs="Calibri Light"/>
          <w:color w:val="000000" w:themeColor="text1"/>
          <w:sz w:val="24"/>
          <w:szCs w:val="24"/>
          <w:lang w:val="en-US"/>
        </w:rPr>
        <w:t xml:space="preserve">Stage 1 has seen the development of the first ever national scale river flood forecasting system. In addition, coastal flood forecasting functions have transferred to </w:t>
      </w:r>
      <w:proofErr w:type="spellStart"/>
      <w:r w:rsidRPr="77BE0170">
        <w:rPr>
          <w:rFonts w:ascii="Calibri Light" w:eastAsia="Calibri Light" w:hAnsi="Calibri Light" w:cs="Calibri Light"/>
          <w:color w:val="000000" w:themeColor="text1"/>
          <w:sz w:val="24"/>
          <w:szCs w:val="24"/>
          <w:lang w:val="en-US"/>
        </w:rPr>
        <w:t>Met</w:t>
      </w:r>
      <w:proofErr w:type="spellEnd"/>
      <w:r w:rsidRPr="77BE0170">
        <w:rPr>
          <w:rFonts w:ascii="Calibri Light" w:eastAsia="Calibri Light" w:hAnsi="Calibri Light" w:cs="Calibri Light"/>
          <w:color w:val="000000" w:themeColor="text1"/>
          <w:sz w:val="24"/>
          <w:szCs w:val="24"/>
          <w:lang w:val="en-US"/>
        </w:rPr>
        <w:t xml:space="preserve"> </w:t>
      </w:r>
      <w:proofErr w:type="spellStart"/>
      <w:r w:rsidRPr="77BE0170">
        <w:rPr>
          <w:rFonts w:ascii="Calibri Light" w:eastAsia="Calibri Light" w:hAnsi="Calibri Light" w:cs="Calibri Light"/>
          <w:color w:val="000000" w:themeColor="text1"/>
          <w:sz w:val="24"/>
          <w:szCs w:val="24"/>
          <w:lang w:val="en-US"/>
        </w:rPr>
        <w:t>Éireann</w:t>
      </w:r>
      <w:proofErr w:type="spellEnd"/>
      <w:r w:rsidRPr="77BE0170">
        <w:rPr>
          <w:rFonts w:ascii="Calibri Light" w:eastAsia="Calibri Light" w:hAnsi="Calibri Light" w:cs="Calibri Light"/>
          <w:color w:val="000000" w:themeColor="text1"/>
          <w:sz w:val="24"/>
          <w:szCs w:val="24"/>
          <w:lang w:val="en-US"/>
        </w:rPr>
        <w:t>. The FFC once operational will provide the services outlined in this document addressing a critical gap in Ireland’s national capacity to prepare for flood events.</w:t>
      </w:r>
    </w:p>
    <w:p w14:paraId="4E608D50" w14:textId="026B38D7" w:rsidR="32CCD336" w:rsidRDefault="32CCD336" w:rsidP="77BE0170">
      <w:pPr>
        <w:pStyle w:val="ListParagraph"/>
        <w:keepNext/>
        <w:keepLines/>
        <w:numPr>
          <w:ilvl w:val="0"/>
          <w:numId w:val="5"/>
        </w:numPr>
        <w:spacing w:beforeAutospacing="1" w:after="0" w:line="240" w:lineRule="auto"/>
        <w:jc w:val="both"/>
        <w:rPr>
          <w:rFonts w:ascii="Calibri Light" w:eastAsia="Calibri Light" w:hAnsi="Calibri Light" w:cs="Calibri Light"/>
          <w:color w:val="2F5496" w:themeColor="accent1" w:themeShade="BF"/>
          <w:sz w:val="32"/>
          <w:szCs w:val="32"/>
        </w:rPr>
      </w:pPr>
      <w:r w:rsidRPr="77BE0170">
        <w:rPr>
          <w:rStyle w:val="Strong"/>
          <w:rFonts w:ascii="Calibri Light" w:eastAsia="Calibri Light" w:hAnsi="Calibri Light" w:cs="Calibri Light"/>
          <w:b w:val="0"/>
          <w:bCs w:val="0"/>
          <w:color w:val="2F5496" w:themeColor="accent1" w:themeShade="BF"/>
          <w:sz w:val="32"/>
          <w:szCs w:val="32"/>
        </w:rPr>
        <w:t>Background</w:t>
      </w:r>
    </w:p>
    <w:p w14:paraId="48340CB6" w14:textId="428AC094" w:rsidR="32CCD336" w:rsidRDefault="32CCD336" w:rsidP="77BE0170">
      <w:pPr>
        <w:spacing w:beforeAutospacing="1" w:after="120" w:line="240" w:lineRule="auto"/>
        <w:jc w:val="both"/>
        <w:rPr>
          <w:rFonts w:ascii="Calibri Light" w:eastAsia="Calibri Light" w:hAnsi="Calibri Light" w:cs="Calibri Light"/>
          <w:color w:val="000000" w:themeColor="text1"/>
          <w:sz w:val="24"/>
          <w:szCs w:val="24"/>
        </w:rPr>
      </w:pPr>
      <w:r w:rsidRPr="77BE0170">
        <w:rPr>
          <w:rFonts w:ascii="Calibri Light" w:eastAsia="Calibri Light" w:hAnsi="Calibri Light" w:cs="Calibri Light"/>
          <w:color w:val="000000" w:themeColor="text1"/>
          <w:sz w:val="24"/>
          <w:szCs w:val="24"/>
          <w:lang w:val="en-US"/>
        </w:rPr>
        <w:t xml:space="preserve">Met Éireann’s FFC will provide a routine Daily Flood Guidance Statement to each Local Authority and additionally, when forecast conditions merit, the FFC will issue High Tide Advisories (HTAs) and River Flood Advisories (RFAs) to Local Authorities (LAs). FFC products will be available on the Irish Flood Integrated Communication System (IFICS), a web portal which will be accessible to limited stakeholders and not the public. </w:t>
      </w:r>
    </w:p>
    <w:p w14:paraId="6DA75A9E" w14:textId="6464870F" w:rsidR="32CCD336" w:rsidRDefault="32CCD336" w:rsidP="77BE0170">
      <w:pPr>
        <w:spacing w:beforeAutospacing="1" w:after="120" w:line="240" w:lineRule="auto"/>
        <w:jc w:val="both"/>
        <w:rPr>
          <w:rFonts w:ascii="Calibri Light" w:eastAsia="Calibri Light" w:hAnsi="Calibri Light" w:cs="Calibri Light"/>
          <w:color w:val="000000" w:themeColor="text1"/>
          <w:sz w:val="24"/>
          <w:szCs w:val="24"/>
        </w:rPr>
      </w:pPr>
      <w:r w:rsidRPr="77BE0170">
        <w:rPr>
          <w:rFonts w:ascii="Calibri Light" w:eastAsia="Calibri Light" w:hAnsi="Calibri Light" w:cs="Calibri Light"/>
          <w:color w:val="000000" w:themeColor="text1"/>
          <w:sz w:val="24"/>
          <w:szCs w:val="24"/>
          <w:lang w:val="en-US"/>
        </w:rPr>
        <w:t>The FFC’s forecasting capability is supported by fluvial and coastal models. Operationally the HYPE model is being run on the Cloud using the Delft Flood Early Warning System (Delft-FEWS) - which is a model integration platform used around the world to support operational forecasting. HYPE runs using weather forecast data from both Met Éireann (Harmonie) and the European Centre for Medium-Range Weather Forecasts (ECMWF), providing a lead time of up to 7-days to prepare for an event. The selection of Delft-FEWS and HYPE was informed by an independent study conducted by IMDC (International Marine and Dredging Consultants) to identify the best integrator system and hydrological model for use in operational flood forecasting in an Irish context.</w:t>
      </w:r>
    </w:p>
    <w:p w14:paraId="6087A8B3" w14:textId="373B6885" w:rsidR="32CCD336" w:rsidRDefault="32CCD336" w:rsidP="77BE0170">
      <w:pPr>
        <w:spacing w:beforeAutospacing="1" w:after="120" w:line="240" w:lineRule="auto"/>
        <w:jc w:val="both"/>
        <w:rPr>
          <w:rFonts w:ascii="Calibri Light" w:eastAsia="Calibri Light" w:hAnsi="Calibri Light" w:cs="Calibri Light"/>
          <w:color w:val="000000" w:themeColor="text1"/>
          <w:sz w:val="24"/>
          <w:szCs w:val="24"/>
        </w:rPr>
      </w:pPr>
      <w:r w:rsidRPr="77BE0170">
        <w:rPr>
          <w:rFonts w:ascii="Calibri Light" w:eastAsia="Calibri Light" w:hAnsi="Calibri Light" w:cs="Calibri Light"/>
          <w:color w:val="000000" w:themeColor="text1"/>
          <w:sz w:val="24"/>
          <w:szCs w:val="24"/>
          <w:lang w:val="en-US"/>
        </w:rPr>
        <w:t>The FFC also collaborated with the OPW to transfer their Tidal and Storm Surge Forecast (TSSF) model to the FFC. The TSSF model uses software developed by DHI (</w:t>
      </w:r>
      <w:hyperlink r:id="rId27" w:history="1">
        <w:r w:rsidRPr="77BE0170">
          <w:rPr>
            <w:rStyle w:val="Hyperlink"/>
            <w:rFonts w:ascii="Calibri Light" w:eastAsia="Calibri Light" w:hAnsi="Calibri Light" w:cs="Calibri Light"/>
            <w:sz w:val="24"/>
            <w:szCs w:val="24"/>
            <w:lang w:val="en-US"/>
          </w:rPr>
          <w:t>Danish Hydraulic Institute</w:t>
        </w:r>
      </w:hyperlink>
      <w:r w:rsidRPr="77BE0170">
        <w:rPr>
          <w:rFonts w:ascii="Calibri Light" w:eastAsia="Calibri Light" w:hAnsi="Calibri Light" w:cs="Calibri Light"/>
          <w:color w:val="000000" w:themeColor="text1"/>
          <w:sz w:val="24"/>
          <w:szCs w:val="24"/>
          <w:lang w:val="en-US"/>
        </w:rPr>
        <w:t xml:space="preserve">), which has been set-up for the Irish coastline by RPS Ltd. The TSSF was transferred from RPS by Met Éireann to run on ECMWF’s HPC (High-Performance Computing) environment in Bologna Italy. The TSSF model currently uses ECMWF’s deterministic forecast as input to produce forecast surge levels at critical points around the Irish coastline with a lead time of 10 days. </w:t>
      </w:r>
    </w:p>
    <w:p w14:paraId="5397FEFE" w14:textId="066B1784" w:rsidR="32CCD336" w:rsidRDefault="32CCD336" w:rsidP="77BE0170">
      <w:pPr>
        <w:spacing w:beforeAutospacing="1" w:after="120" w:line="240" w:lineRule="auto"/>
        <w:jc w:val="both"/>
        <w:rPr>
          <w:rFonts w:ascii="Calibri Light" w:eastAsia="Calibri Light" w:hAnsi="Calibri Light" w:cs="Calibri Light"/>
          <w:color w:val="000000" w:themeColor="text1"/>
          <w:sz w:val="24"/>
          <w:szCs w:val="24"/>
        </w:rPr>
      </w:pPr>
      <w:r w:rsidRPr="77BE0170">
        <w:rPr>
          <w:rFonts w:ascii="Calibri Light" w:eastAsia="Calibri Light" w:hAnsi="Calibri Light" w:cs="Calibri Light"/>
          <w:color w:val="000000" w:themeColor="text1"/>
          <w:sz w:val="24"/>
          <w:szCs w:val="24"/>
          <w:lang w:val="en-US"/>
        </w:rPr>
        <w:t>Forecast information from the hydrological models along with the TSSF are disseminated to stakeholders using IFICS. Stakeholders can login to this system to view the latest observed and forecast information along with FFC products.</w:t>
      </w:r>
    </w:p>
    <w:p w14:paraId="21299911" w14:textId="08B627B8" w:rsidR="32CCD336" w:rsidRDefault="32CCD336" w:rsidP="77BE0170">
      <w:pPr>
        <w:spacing w:beforeAutospacing="1" w:after="120" w:line="240" w:lineRule="auto"/>
        <w:jc w:val="both"/>
        <w:rPr>
          <w:rFonts w:ascii="Calibri Light" w:eastAsia="Calibri Light" w:hAnsi="Calibri Light" w:cs="Calibri Light"/>
          <w:color w:val="000000" w:themeColor="text1"/>
          <w:sz w:val="24"/>
          <w:szCs w:val="24"/>
        </w:rPr>
      </w:pPr>
      <w:r w:rsidRPr="77BE0170">
        <w:rPr>
          <w:rFonts w:ascii="Calibri Light" w:eastAsia="Calibri Light" w:hAnsi="Calibri Light" w:cs="Calibri Light"/>
          <w:color w:val="000000" w:themeColor="text1"/>
          <w:sz w:val="24"/>
          <w:szCs w:val="24"/>
          <w:lang w:val="en-US"/>
        </w:rPr>
        <w:t xml:space="preserve">For forecast meteorological information, the FFC uses principally the ensemble forecasts from Harmonie and ECMWF for a range of parameters including for example rainfall, wind and pressure. Hydrometeorologists also work together with their colleagues in the Forecast Office who provide expert guidance on potential weather events. </w:t>
      </w:r>
    </w:p>
    <w:p w14:paraId="0D811F17" w14:textId="4B6370BE" w:rsidR="32CCD336" w:rsidRDefault="32CCD336" w:rsidP="77BE0170">
      <w:pPr>
        <w:pStyle w:val="ListParagraph"/>
        <w:keepNext/>
        <w:keepLines/>
        <w:numPr>
          <w:ilvl w:val="0"/>
          <w:numId w:val="5"/>
        </w:numPr>
        <w:spacing w:beforeAutospacing="1" w:after="0" w:line="240" w:lineRule="auto"/>
        <w:jc w:val="both"/>
        <w:rPr>
          <w:rFonts w:ascii="Calibri Light" w:eastAsia="Calibri Light" w:hAnsi="Calibri Light" w:cs="Calibri Light"/>
          <w:color w:val="2F5496" w:themeColor="accent1" w:themeShade="BF"/>
          <w:sz w:val="32"/>
          <w:szCs w:val="32"/>
        </w:rPr>
      </w:pPr>
      <w:r w:rsidRPr="77BE0170">
        <w:rPr>
          <w:rStyle w:val="Strong"/>
          <w:rFonts w:ascii="Calibri Light" w:eastAsia="Calibri Light" w:hAnsi="Calibri Light" w:cs="Calibri Light"/>
          <w:b w:val="0"/>
          <w:bCs w:val="0"/>
          <w:color w:val="2F5496" w:themeColor="accent1" w:themeShade="BF"/>
          <w:sz w:val="32"/>
          <w:szCs w:val="32"/>
        </w:rPr>
        <w:lastRenderedPageBreak/>
        <w:t>Service Standards and limitations</w:t>
      </w:r>
    </w:p>
    <w:p w14:paraId="6B06F1A7" w14:textId="6845421B" w:rsidR="32CCD336" w:rsidRDefault="32CCD336" w:rsidP="77BE0170">
      <w:pPr>
        <w:spacing w:beforeAutospacing="1" w:after="120" w:line="240" w:lineRule="auto"/>
        <w:jc w:val="both"/>
        <w:rPr>
          <w:rFonts w:ascii="Calibri Light" w:eastAsia="Calibri Light" w:hAnsi="Calibri Light" w:cs="Calibri Light"/>
          <w:color w:val="000000" w:themeColor="text1"/>
          <w:sz w:val="24"/>
          <w:szCs w:val="24"/>
        </w:rPr>
      </w:pPr>
      <w:r w:rsidRPr="77BE0170">
        <w:rPr>
          <w:rFonts w:ascii="Calibri Light" w:eastAsia="Calibri Light" w:hAnsi="Calibri Light" w:cs="Calibri Light"/>
          <w:color w:val="000000" w:themeColor="text1"/>
          <w:sz w:val="24"/>
          <w:szCs w:val="24"/>
          <w:lang w:val="en-GB"/>
        </w:rPr>
        <w:t xml:space="preserve">Both the IFICS and Delft-FEWS systems, which support flood forecasting communications and fluvial forecasting respectively, are cloud based, have back-up systems and are geo resilient. They are both supported by their respective contractors via an on-call facility. The IFICS and FEWS maintenance contracts will be managed and reprocured, as necessary, by the FFC. </w:t>
      </w:r>
    </w:p>
    <w:p w14:paraId="7E6B7AF5" w14:textId="14AE0D50" w:rsidR="32CCD336" w:rsidRDefault="32CCD336" w:rsidP="77BE0170">
      <w:pPr>
        <w:spacing w:beforeAutospacing="1" w:after="120" w:line="240" w:lineRule="auto"/>
        <w:jc w:val="both"/>
        <w:rPr>
          <w:rFonts w:ascii="Calibri Light" w:eastAsia="Calibri Light" w:hAnsi="Calibri Light" w:cs="Calibri Light"/>
          <w:color w:val="000000" w:themeColor="text1"/>
          <w:sz w:val="24"/>
          <w:szCs w:val="24"/>
        </w:rPr>
      </w:pPr>
      <w:r w:rsidRPr="77BE0170">
        <w:rPr>
          <w:rFonts w:ascii="Calibri Light" w:eastAsia="Calibri Light" w:hAnsi="Calibri Light" w:cs="Calibri Light"/>
          <w:color w:val="000000" w:themeColor="text1"/>
          <w:sz w:val="24"/>
          <w:szCs w:val="24"/>
          <w:lang w:val="en-US"/>
        </w:rPr>
        <w:t xml:space="preserve">The selection of the HYPE and Delft-FEWS integrator system was informed by an independent study by IMDC to identify the best model and system for operational flood forecasting by Met Éireann. It is important to highlight that both Delft-FEWS and HYPE are widely used in the international community for operational flood forecasting, have a large user group, and are well supported mature systems. Improvements and enhancements to these systems by the user community as well as the developers will be available to </w:t>
      </w:r>
      <w:proofErr w:type="spellStart"/>
      <w:r w:rsidRPr="77BE0170">
        <w:rPr>
          <w:rFonts w:ascii="Calibri Light" w:eastAsia="Calibri Light" w:hAnsi="Calibri Light" w:cs="Calibri Light"/>
          <w:color w:val="000000" w:themeColor="text1"/>
          <w:sz w:val="24"/>
          <w:szCs w:val="24"/>
          <w:lang w:val="en-US"/>
        </w:rPr>
        <w:t>Met</w:t>
      </w:r>
      <w:proofErr w:type="spellEnd"/>
      <w:r w:rsidRPr="77BE0170">
        <w:rPr>
          <w:rFonts w:ascii="Calibri Light" w:eastAsia="Calibri Light" w:hAnsi="Calibri Light" w:cs="Calibri Light"/>
          <w:color w:val="000000" w:themeColor="text1"/>
          <w:sz w:val="24"/>
          <w:szCs w:val="24"/>
          <w:lang w:val="en-US"/>
        </w:rPr>
        <w:t xml:space="preserve"> </w:t>
      </w:r>
      <w:proofErr w:type="spellStart"/>
      <w:r w:rsidRPr="77BE0170">
        <w:rPr>
          <w:rFonts w:ascii="Calibri Light" w:eastAsia="Calibri Light" w:hAnsi="Calibri Light" w:cs="Calibri Light"/>
          <w:color w:val="000000" w:themeColor="text1"/>
          <w:sz w:val="24"/>
          <w:szCs w:val="24"/>
          <w:lang w:val="en-US"/>
        </w:rPr>
        <w:t>Éireann</w:t>
      </w:r>
      <w:proofErr w:type="spellEnd"/>
      <w:r w:rsidRPr="77BE0170">
        <w:rPr>
          <w:rFonts w:ascii="Calibri Light" w:eastAsia="Calibri Light" w:hAnsi="Calibri Light" w:cs="Calibri Light"/>
          <w:color w:val="000000" w:themeColor="text1"/>
          <w:sz w:val="24"/>
          <w:szCs w:val="24"/>
          <w:lang w:val="en-US"/>
        </w:rPr>
        <w:t>, ensuring that both Delft-FEWS and HYPE can be maintained to current and best international standards.</w:t>
      </w:r>
    </w:p>
    <w:p w14:paraId="1B718825" w14:textId="412FFAB2" w:rsidR="32CCD336" w:rsidRDefault="32CCD336" w:rsidP="77BE0170">
      <w:pPr>
        <w:spacing w:beforeAutospacing="1" w:after="120" w:line="240" w:lineRule="auto"/>
        <w:jc w:val="both"/>
        <w:rPr>
          <w:rFonts w:ascii="Calibri Light" w:eastAsia="Calibri Light" w:hAnsi="Calibri Light" w:cs="Calibri Light"/>
          <w:color w:val="000000" w:themeColor="text1"/>
          <w:sz w:val="24"/>
          <w:szCs w:val="24"/>
        </w:rPr>
      </w:pPr>
      <w:r w:rsidRPr="77BE0170">
        <w:rPr>
          <w:rFonts w:ascii="Calibri Light" w:eastAsia="Calibri Light" w:hAnsi="Calibri Light" w:cs="Calibri Light"/>
          <w:color w:val="000000" w:themeColor="text1"/>
          <w:sz w:val="24"/>
          <w:szCs w:val="24"/>
          <w:lang w:val="en-US"/>
        </w:rPr>
        <w:t>IMDC set out and followed an approach for the development and testing of the HYPE model which follows best international practice. Met Éireann has also consulted with the developers of the model at SMHI (Swedish Hydrological and Meteorological Institute) to ensure the approach to model development was commensurate with acceptable practices. Hence the models have been developed to a high standard, however there are limitations on the quality of the observational data available for development and testing which restrict the level of accuracy which can be achieved at this Stage. Met Éireann will work with stakeholders to improve the observational network, which will in future address these limitations. Met Éireann’s Hydrometeorologists will be fully trained and understand these limitations. Stakeholders will also be made aware of the limitations of the products which the FFC will provide.</w:t>
      </w:r>
    </w:p>
    <w:p w14:paraId="73D191E1" w14:textId="5D82A50D" w:rsidR="32CCD336" w:rsidRDefault="32CCD336" w:rsidP="77BE0170">
      <w:pPr>
        <w:spacing w:beforeAutospacing="1" w:after="120" w:line="240" w:lineRule="auto"/>
        <w:jc w:val="both"/>
        <w:rPr>
          <w:rFonts w:ascii="Calibri Light" w:eastAsia="Calibri Light" w:hAnsi="Calibri Light" w:cs="Calibri Light"/>
          <w:color w:val="000000" w:themeColor="text1"/>
          <w:sz w:val="24"/>
          <w:szCs w:val="24"/>
        </w:rPr>
      </w:pPr>
      <w:r w:rsidRPr="77BE0170">
        <w:rPr>
          <w:rFonts w:ascii="Calibri Light" w:eastAsia="Calibri Light" w:hAnsi="Calibri Light" w:cs="Calibri Light"/>
          <w:color w:val="000000" w:themeColor="text1"/>
          <w:sz w:val="24"/>
          <w:szCs w:val="24"/>
          <w:lang w:val="en-GB"/>
        </w:rPr>
        <w:t>Both the HYPE model and Delft-FEWS Integrator system were tested during a non-operational trial of the system conducted from 2022 to 2023. Based on the results of the model evaluation conducted by IMDC as part of their contract, along with Met Éireann’s own assessment conducted during the trial period, t</w:t>
      </w:r>
      <w:r w:rsidRPr="77BE0170">
        <w:rPr>
          <w:rFonts w:ascii="Calibri Light" w:eastAsia="Calibri Light" w:hAnsi="Calibri Light" w:cs="Calibri Light"/>
          <w:color w:val="000000" w:themeColor="text1"/>
          <w:sz w:val="24"/>
          <w:szCs w:val="24"/>
          <w:lang w:val="en-US"/>
        </w:rPr>
        <w:t>he HYPE model was found to be very accurate for a number of locations, particularly those where the density of good quality flow rated gauges is high; however, better quality observational data is needed to improve the model’s accuracy at other locations. For some areas of the country the models will therefore not be able to provide a high-quality numerical forecast, and interpretation by on-duty Hydrometeorologists will be required.</w:t>
      </w:r>
    </w:p>
    <w:p w14:paraId="0334FF4F" w14:textId="416DFDB4" w:rsidR="32CCD336" w:rsidRDefault="32CCD336" w:rsidP="77BE0170">
      <w:pPr>
        <w:spacing w:beforeAutospacing="1" w:after="120" w:line="240" w:lineRule="auto"/>
        <w:jc w:val="both"/>
        <w:rPr>
          <w:rFonts w:ascii="Calibri Light" w:eastAsia="Calibri Light" w:hAnsi="Calibri Light" w:cs="Calibri Light"/>
          <w:color w:val="000000" w:themeColor="text1"/>
          <w:sz w:val="24"/>
          <w:szCs w:val="24"/>
        </w:rPr>
      </w:pPr>
      <w:r w:rsidRPr="77BE0170">
        <w:rPr>
          <w:rFonts w:ascii="Calibri Light" w:eastAsia="Calibri Light" w:hAnsi="Calibri Light" w:cs="Calibri Light"/>
          <w:color w:val="000000" w:themeColor="text1"/>
          <w:sz w:val="24"/>
          <w:szCs w:val="24"/>
          <w:lang w:val="en-US"/>
        </w:rPr>
        <w:t xml:space="preserve">Although these models demonstrate sufficient predictive skill to provide guidance to trained expert hydrometeorologists, ongoing development work will be necessary to improve the performance of these flood forecasting models. This will initially be informed by the trial report produced by IMDC and Met Éireann’s own expertise. Along with using Met Éireann’s own capabilities, options to improve the model outside Met Éireann, including by the model developers (SMHI) will be explored. Development work will be guided by performance reviews. These reviews will be conducted by Met Éireann through statistical verification and skill score analysis of the flood forecasting system over time at forecast points coinciding with the locations of reliable flow rated gauges. The HYPE model forecasts are being archived as part of the system’s operations to support ongoing and retrospective performance assessments. An </w:t>
      </w:r>
      <w:r w:rsidRPr="77BE0170">
        <w:rPr>
          <w:rFonts w:ascii="Calibri Light" w:eastAsia="Calibri Light" w:hAnsi="Calibri Light" w:cs="Calibri Light"/>
          <w:color w:val="000000" w:themeColor="text1"/>
          <w:sz w:val="24"/>
          <w:szCs w:val="24"/>
          <w:lang w:val="en-US"/>
        </w:rPr>
        <w:lastRenderedPageBreak/>
        <w:t xml:space="preserve">annual review of model performance will be conducted. In addition, any further model developments will be benchmarked against the current system to determine the added value of development work. </w:t>
      </w:r>
    </w:p>
    <w:p w14:paraId="682CC466" w14:textId="0DD05126" w:rsidR="32CCD336" w:rsidRDefault="32CCD336" w:rsidP="77BE0170">
      <w:pPr>
        <w:spacing w:beforeAutospacing="1" w:after="120" w:line="240" w:lineRule="auto"/>
        <w:jc w:val="both"/>
        <w:rPr>
          <w:rFonts w:ascii="Calibri Light" w:eastAsia="Calibri Light" w:hAnsi="Calibri Light" w:cs="Calibri Light"/>
          <w:color w:val="000000" w:themeColor="text1"/>
          <w:sz w:val="24"/>
          <w:szCs w:val="24"/>
        </w:rPr>
      </w:pPr>
      <w:r w:rsidRPr="77BE0170">
        <w:rPr>
          <w:rFonts w:ascii="Calibri Light" w:eastAsia="Calibri Light" w:hAnsi="Calibri Light" w:cs="Calibri Light"/>
          <w:color w:val="000000" w:themeColor="text1"/>
          <w:sz w:val="24"/>
          <w:szCs w:val="24"/>
          <w:lang w:val="en-US"/>
        </w:rPr>
        <w:t>The Met Éireann Flood Forecast Centre has now embedded the TSSF model into the ECWMF HPC architecture ensuring more resilient and robust operations than previously. The model system receives NWP data directly from the operational stream at ECMWF. Met Éireann produced a report in collaboration with the third party (RPS Ltd.) who ran the TSSF model for the OPW. They provided details on the model’s performance and recommendations on how to improve the TSSF model. In addition, Met Éireann conducted a performance review of the TSSF model during a non-operational trial (2022-2023). Results of the various studies of the model undertaken show that it generally performs well for most coastlines. However, it has one main limitation, it does not include waves in the calculation of the total water level. In addition to this it uses only the ECMWF deterministic forecast.</w:t>
      </w:r>
    </w:p>
    <w:p w14:paraId="2DF9E1E1" w14:textId="10BD94F8" w:rsidR="32CCD336" w:rsidRDefault="32CCD336" w:rsidP="77BE0170">
      <w:pPr>
        <w:spacing w:beforeAutospacing="1" w:after="120" w:line="240" w:lineRule="auto"/>
        <w:jc w:val="both"/>
        <w:rPr>
          <w:rFonts w:ascii="Calibri Light" w:eastAsia="Calibri Light" w:hAnsi="Calibri Light" w:cs="Calibri Light"/>
          <w:color w:val="000000" w:themeColor="text1"/>
          <w:sz w:val="24"/>
          <w:szCs w:val="24"/>
        </w:rPr>
      </w:pPr>
      <w:r w:rsidRPr="77BE0170">
        <w:rPr>
          <w:rFonts w:ascii="Calibri Light" w:eastAsia="Calibri Light" w:hAnsi="Calibri Light" w:cs="Calibri Light"/>
          <w:color w:val="000000" w:themeColor="text1"/>
          <w:sz w:val="24"/>
          <w:szCs w:val="24"/>
          <w:lang w:val="en-US"/>
        </w:rPr>
        <w:t>Development work will be required to improve the TSSF model. As with the fluvial models above, along with utilising Met Éireann’s own capabilities, options to improve the model outside Met Éireann, including by the model developers (DHI) will be explored. Additional performance reviews by FFC are planned to identify further development requirements. These reviews will be supported by statistical verification and skill score analysis of the model’s performance over time at critical locations around the coast. The TSSF model forecasts model forecasts are being archived as part of the system’s operations to support ongoing and retrospective performance assessments. An annual review of model performance will be conducted. In addition, any further model developments will be benchmarked against the current system to determine the added value of development work.</w:t>
      </w:r>
    </w:p>
    <w:p w14:paraId="42F4B225" w14:textId="3DCE706C" w:rsidR="32CCD336" w:rsidRDefault="32CCD336" w:rsidP="77BE0170">
      <w:pPr>
        <w:pStyle w:val="ListParagraph"/>
        <w:keepNext/>
        <w:keepLines/>
        <w:numPr>
          <w:ilvl w:val="0"/>
          <w:numId w:val="5"/>
        </w:numPr>
        <w:spacing w:beforeAutospacing="1" w:after="0" w:line="240" w:lineRule="auto"/>
        <w:jc w:val="both"/>
        <w:rPr>
          <w:rFonts w:ascii="Calibri Light" w:eastAsia="Calibri Light" w:hAnsi="Calibri Light" w:cs="Calibri Light"/>
          <w:color w:val="2F5496" w:themeColor="accent1" w:themeShade="BF"/>
          <w:sz w:val="32"/>
          <w:szCs w:val="32"/>
        </w:rPr>
      </w:pPr>
      <w:r w:rsidRPr="77BE0170">
        <w:rPr>
          <w:rStyle w:val="Strong"/>
          <w:rFonts w:ascii="Calibri Light" w:eastAsia="Calibri Light" w:hAnsi="Calibri Light" w:cs="Calibri Light"/>
          <w:b w:val="0"/>
          <w:bCs w:val="0"/>
          <w:color w:val="2F5496" w:themeColor="accent1" w:themeShade="BF"/>
          <w:sz w:val="32"/>
          <w:szCs w:val="32"/>
        </w:rPr>
        <w:t>Service Description</w:t>
      </w:r>
    </w:p>
    <w:p w14:paraId="3E6D1497" w14:textId="2CF9A610" w:rsidR="32CCD336" w:rsidRDefault="32CCD336" w:rsidP="77BE0170">
      <w:pPr>
        <w:pStyle w:val="Heading2"/>
        <w:spacing w:beforeAutospacing="1" w:line="240" w:lineRule="auto"/>
        <w:jc w:val="both"/>
        <w:rPr>
          <w:rFonts w:ascii="Calibri Light" w:eastAsia="Calibri Light" w:hAnsi="Calibri Light" w:cs="Calibri Light"/>
          <w:b/>
          <w:bCs/>
          <w:color w:val="1F3763"/>
          <w:sz w:val="24"/>
          <w:szCs w:val="24"/>
        </w:rPr>
      </w:pPr>
      <w:r w:rsidRPr="77BE0170">
        <w:rPr>
          <w:rFonts w:ascii="Calibri Light" w:eastAsia="Calibri Light" w:hAnsi="Calibri Light" w:cs="Calibri Light"/>
          <w:b/>
          <w:bCs/>
          <w:color w:val="1F3763"/>
          <w:sz w:val="24"/>
          <w:szCs w:val="24"/>
        </w:rPr>
        <w:t>Daily Flood Guidance Statement 3-Day Forecast (DFGS 3 Day)</w:t>
      </w:r>
    </w:p>
    <w:p w14:paraId="7DA6A17F" w14:textId="30145933" w:rsidR="32CCD336" w:rsidRDefault="32CCD336" w:rsidP="77BE0170">
      <w:pPr>
        <w:spacing w:beforeAutospacing="1" w:after="120" w:line="240" w:lineRule="auto"/>
        <w:jc w:val="both"/>
        <w:rPr>
          <w:rFonts w:ascii="Calibri Light" w:eastAsia="Calibri Light" w:hAnsi="Calibri Light" w:cs="Calibri Light"/>
          <w:color w:val="000000" w:themeColor="text1"/>
          <w:sz w:val="24"/>
          <w:szCs w:val="24"/>
        </w:rPr>
      </w:pPr>
      <w:r w:rsidRPr="77BE0170">
        <w:rPr>
          <w:rFonts w:ascii="Calibri Light" w:eastAsia="Calibri Light" w:hAnsi="Calibri Light" w:cs="Calibri Light"/>
          <w:color w:val="000000" w:themeColor="text1"/>
          <w:sz w:val="24"/>
          <w:szCs w:val="24"/>
        </w:rPr>
        <w:t>The DFGS 3-day is a document designed to communicate river and coastal forecast information on a national and catchment scale for a 3-day period. The flood conditions are displayed graphically for a 3-day period and the conditions are colour coded according to whether flood thresholds are: Normal, Elevated, High or Extremely High. The DFGS also includes a summary of the weather forecast, the Coastal and River flood conditions, and FFC contact details. The DFGS is emailed to the Local Authorities, NDFEM and the OPW, the DFGS can also be viewed on the IFICS portal. The DFGS allows the national emergency management function to understand the upcoming flood risk.</w:t>
      </w:r>
    </w:p>
    <w:p w14:paraId="1AEB8461" w14:textId="66F388BF" w:rsidR="32CCD336" w:rsidRDefault="32CCD336" w:rsidP="77BE0170">
      <w:pPr>
        <w:pStyle w:val="Heading2"/>
        <w:spacing w:beforeAutospacing="1" w:line="240" w:lineRule="auto"/>
        <w:jc w:val="both"/>
        <w:rPr>
          <w:rFonts w:ascii="Calibri Light" w:eastAsia="Calibri Light" w:hAnsi="Calibri Light" w:cs="Calibri Light"/>
          <w:b/>
          <w:bCs/>
          <w:color w:val="1F3763"/>
          <w:sz w:val="24"/>
          <w:szCs w:val="24"/>
        </w:rPr>
      </w:pPr>
      <w:r w:rsidRPr="77BE0170">
        <w:rPr>
          <w:rFonts w:ascii="Calibri Light" w:eastAsia="Calibri Light" w:hAnsi="Calibri Light" w:cs="Calibri Light"/>
          <w:b/>
          <w:bCs/>
          <w:color w:val="1F3763"/>
          <w:sz w:val="24"/>
          <w:szCs w:val="24"/>
        </w:rPr>
        <w:t>River Flood Advisory</w:t>
      </w:r>
    </w:p>
    <w:p w14:paraId="1DE89F1A" w14:textId="7E9AFF1E" w:rsidR="32CCD336" w:rsidRDefault="32CCD336" w:rsidP="77BE0170">
      <w:pPr>
        <w:spacing w:beforeAutospacing="1" w:after="120" w:line="240" w:lineRule="auto"/>
        <w:jc w:val="both"/>
        <w:rPr>
          <w:rFonts w:ascii="Calibri Light" w:eastAsia="Calibri Light" w:hAnsi="Calibri Light" w:cs="Calibri Light"/>
          <w:color w:val="000000" w:themeColor="text1"/>
          <w:sz w:val="24"/>
          <w:szCs w:val="24"/>
        </w:rPr>
      </w:pPr>
      <w:r w:rsidRPr="77BE0170">
        <w:rPr>
          <w:rFonts w:ascii="Calibri Light" w:eastAsia="Calibri Light" w:hAnsi="Calibri Light" w:cs="Calibri Light"/>
          <w:color w:val="000000" w:themeColor="text1"/>
          <w:sz w:val="24"/>
          <w:szCs w:val="24"/>
        </w:rPr>
        <w:t xml:space="preserve">A River Flood Advisory is a written report used to communicate a possible flood event. It serves to inform Government bodies, Emergency Management and Principal Response Agencies that a flood event may occur. The aim is to issue the River Flood Advisory via email as early as the forecast models allow, typically 2 to 3 days prior to a possible event. This lead-time will allow the agencies to resource and plan for the forecasted event. River Flood Advisories will be issued when the forecast flood exceeds the High flow thresholds for rivers and High-water level </w:t>
      </w:r>
      <w:r w:rsidRPr="77BE0170">
        <w:rPr>
          <w:rFonts w:ascii="Calibri Light" w:eastAsia="Calibri Light" w:hAnsi="Calibri Light" w:cs="Calibri Light"/>
          <w:color w:val="000000" w:themeColor="text1"/>
          <w:sz w:val="24"/>
          <w:szCs w:val="24"/>
        </w:rPr>
        <w:lastRenderedPageBreak/>
        <w:t xml:space="preserve">thresholds for coastal areas within the next 72-hour period. A River Flood Advisory will be sent to the Local Authorities, NDFEM and the OPW, the DFGS can also be viewed on the IFICS portal. </w:t>
      </w:r>
    </w:p>
    <w:p w14:paraId="5D53F570" w14:textId="1CF2C12C" w:rsidR="32CCD336" w:rsidRDefault="32CCD336" w:rsidP="77BE0170">
      <w:pPr>
        <w:pStyle w:val="Heading2"/>
        <w:spacing w:beforeAutospacing="1" w:line="240" w:lineRule="auto"/>
        <w:jc w:val="both"/>
        <w:rPr>
          <w:rFonts w:ascii="Calibri Light" w:eastAsia="Calibri Light" w:hAnsi="Calibri Light" w:cs="Calibri Light"/>
          <w:b/>
          <w:bCs/>
          <w:color w:val="1F3763"/>
          <w:sz w:val="24"/>
          <w:szCs w:val="24"/>
        </w:rPr>
      </w:pPr>
      <w:r w:rsidRPr="77BE0170">
        <w:rPr>
          <w:rFonts w:ascii="Calibri Light" w:eastAsia="Calibri Light" w:hAnsi="Calibri Light" w:cs="Calibri Light"/>
          <w:b/>
          <w:bCs/>
          <w:color w:val="1F3763"/>
          <w:sz w:val="24"/>
          <w:szCs w:val="24"/>
        </w:rPr>
        <w:t xml:space="preserve">High Tide Advisories </w:t>
      </w:r>
    </w:p>
    <w:p w14:paraId="50E491CD" w14:textId="2D016D5E" w:rsidR="32CCD336" w:rsidRDefault="32CCD336" w:rsidP="77BE0170">
      <w:pPr>
        <w:spacing w:beforeAutospacing="1" w:after="120" w:line="240" w:lineRule="auto"/>
        <w:jc w:val="both"/>
        <w:rPr>
          <w:rFonts w:ascii="Calibri Light" w:eastAsia="Calibri Light" w:hAnsi="Calibri Light" w:cs="Calibri Light"/>
          <w:color w:val="000000" w:themeColor="text1"/>
          <w:sz w:val="24"/>
          <w:szCs w:val="24"/>
        </w:rPr>
      </w:pPr>
      <w:r w:rsidRPr="77BE0170">
        <w:rPr>
          <w:rFonts w:ascii="Calibri Light" w:eastAsia="Calibri Light" w:hAnsi="Calibri Light" w:cs="Calibri Light"/>
          <w:color w:val="000000" w:themeColor="text1"/>
          <w:sz w:val="24"/>
          <w:szCs w:val="24"/>
        </w:rPr>
        <w:t xml:space="preserve">A High Tide Advisory is a written report that communicates the possibility of a coastal flood event. It serves to inform Government bodies, Emergency Management and Principal Response Agencies that a coastal flood event may occur. The aim is to issue the HTA via email as early as possible, typically 2 to 3 days prior to a possible event, as allowed by the TSSF model. This lead time allows the agencies to resource and plan for the forecasted event. A HTA will be issued when the forecast flood exceeds the High -water level thresholds for coastal areas within the next 72-hour period. </w:t>
      </w:r>
    </w:p>
    <w:p w14:paraId="49604438" w14:textId="0DDBDA9E" w:rsidR="32CCD336" w:rsidRDefault="32CCD336" w:rsidP="77BE0170">
      <w:pPr>
        <w:pStyle w:val="Heading2"/>
        <w:spacing w:beforeAutospacing="1" w:line="240" w:lineRule="auto"/>
        <w:jc w:val="both"/>
        <w:rPr>
          <w:rFonts w:ascii="Calibri Light" w:eastAsia="Calibri Light" w:hAnsi="Calibri Light" w:cs="Calibri Light"/>
          <w:b/>
          <w:bCs/>
          <w:color w:val="1F3763"/>
          <w:sz w:val="24"/>
          <w:szCs w:val="24"/>
        </w:rPr>
      </w:pPr>
      <w:r w:rsidRPr="77BE0170">
        <w:rPr>
          <w:rFonts w:ascii="Calibri Light" w:eastAsia="Calibri Light" w:hAnsi="Calibri Light" w:cs="Calibri Light"/>
          <w:b/>
          <w:bCs/>
          <w:color w:val="1F3763"/>
          <w:sz w:val="24"/>
          <w:szCs w:val="24"/>
        </w:rPr>
        <w:t xml:space="preserve">Irish Flood Integrated Communication System </w:t>
      </w:r>
    </w:p>
    <w:p w14:paraId="7A857EEC" w14:textId="77777777" w:rsidR="0036386B" w:rsidRDefault="32CCD336" w:rsidP="77BE0170">
      <w:pPr>
        <w:spacing w:beforeAutospacing="1" w:after="120" w:line="240" w:lineRule="auto"/>
        <w:jc w:val="both"/>
        <w:rPr>
          <w:rFonts w:ascii="Calibri Light" w:eastAsia="Calibri Light" w:hAnsi="Calibri Light" w:cs="Calibri Light"/>
          <w:color w:val="000000" w:themeColor="text1"/>
          <w:sz w:val="24"/>
          <w:szCs w:val="24"/>
        </w:rPr>
      </w:pPr>
      <w:r w:rsidRPr="77BE0170">
        <w:rPr>
          <w:rFonts w:ascii="Calibri Light" w:eastAsia="Calibri Light" w:hAnsi="Calibri Light" w:cs="Calibri Light"/>
          <w:color w:val="000000" w:themeColor="text1"/>
          <w:sz w:val="24"/>
          <w:szCs w:val="24"/>
        </w:rPr>
        <w:t xml:space="preserve">The Irish Flood Integrated Communication System (IFICS) is a cloud-based visualisation, production and dissemination system for information relating to river and coastal flooding. External stakeholders can use this system to view meteorological and hydrological observations along with flood and metrological forecasts. Due to the specialist nature of this system, currently only specific trained staff from within the Local Authorities, OPW, National Directorate for Fire and Emergency Management (NDFEM) and Met Éireann can access IFICS. </w:t>
      </w:r>
    </w:p>
    <w:p w14:paraId="4517C784" w14:textId="1AB3B077" w:rsidR="32CCD336" w:rsidRDefault="32CCD336" w:rsidP="77BE0170">
      <w:pPr>
        <w:spacing w:beforeAutospacing="1" w:after="120" w:line="240" w:lineRule="auto"/>
        <w:jc w:val="both"/>
        <w:rPr>
          <w:rFonts w:ascii="Calibri Light" w:eastAsia="Calibri Light" w:hAnsi="Calibri Light" w:cs="Calibri Light"/>
          <w:b/>
          <w:bCs/>
          <w:color w:val="1F3763"/>
          <w:sz w:val="24"/>
          <w:szCs w:val="24"/>
        </w:rPr>
      </w:pPr>
      <w:r w:rsidRPr="77BE0170">
        <w:rPr>
          <w:rFonts w:ascii="Calibri Light" w:eastAsia="Calibri Light" w:hAnsi="Calibri Light" w:cs="Calibri Light"/>
          <w:b/>
          <w:bCs/>
          <w:color w:val="1F3763"/>
          <w:sz w:val="24"/>
          <w:szCs w:val="24"/>
        </w:rPr>
        <w:t>Flood Forecast Information</w:t>
      </w:r>
    </w:p>
    <w:p w14:paraId="39E65153" w14:textId="7E27D474" w:rsidR="32CCD336" w:rsidRDefault="32CCD336" w:rsidP="77BE0170">
      <w:pPr>
        <w:spacing w:beforeAutospacing="1" w:after="120" w:line="240" w:lineRule="auto"/>
        <w:jc w:val="both"/>
        <w:rPr>
          <w:rFonts w:ascii="Calibri Light" w:eastAsia="Calibri Light" w:hAnsi="Calibri Light" w:cs="Calibri Light"/>
          <w:color w:val="000000" w:themeColor="text1"/>
          <w:sz w:val="24"/>
          <w:szCs w:val="24"/>
        </w:rPr>
      </w:pPr>
      <w:r w:rsidRPr="77BE0170">
        <w:rPr>
          <w:rFonts w:ascii="Calibri Light" w:eastAsia="Calibri Light" w:hAnsi="Calibri Light" w:cs="Calibri Light"/>
          <w:color w:val="000000" w:themeColor="text1"/>
          <w:sz w:val="24"/>
          <w:szCs w:val="24"/>
        </w:rPr>
        <w:t>Operational updates are a series of products that are produced by the FFC to clarify and further explain the forecasted and observed flooding conditions. These can include maps, verbal or written forecast updates, plots, graphs, tables, diagrams, animated images and videos etc. They are generally compiled and produced by the FFC and disseminated via many methods such as email, briefings and presentations. Hydrometeorologists will also be available to provide a briefing during meetings of the National Emergency Coordination Group. In addition, members of the FFC will work with their colleagues in the forecast office to ensure flood information is included in weather warnings and messaging. Along with the physical products, briefing information is used to assist decision making by local responders including local emergency management.</w:t>
      </w:r>
    </w:p>
    <w:p w14:paraId="37198238" w14:textId="03596C7A" w:rsidR="32CCD336" w:rsidRDefault="32CCD336" w:rsidP="77BE0170">
      <w:pPr>
        <w:pStyle w:val="ListParagraph"/>
        <w:keepNext/>
        <w:keepLines/>
        <w:numPr>
          <w:ilvl w:val="0"/>
          <w:numId w:val="5"/>
        </w:numPr>
        <w:spacing w:beforeAutospacing="1" w:after="0" w:line="240" w:lineRule="auto"/>
        <w:jc w:val="both"/>
        <w:rPr>
          <w:rFonts w:ascii="Calibri Light" w:eastAsia="Calibri Light" w:hAnsi="Calibri Light" w:cs="Calibri Light"/>
          <w:color w:val="2F5496" w:themeColor="accent1" w:themeShade="BF"/>
          <w:sz w:val="32"/>
          <w:szCs w:val="32"/>
        </w:rPr>
      </w:pPr>
      <w:r w:rsidRPr="77BE0170">
        <w:rPr>
          <w:rStyle w:val="Strong"/>
          <w:rFonts w:ascii="Calibri Light" w:eastAsia="Calibri Light" w:hAnsi="Calibri Light" w:cs="Calibri Light"/>
          <w:b w:val="0"/>
          <w:bCs w:val="0"/>
          <w:color w:val="2F5496" w:themeColor="accent1" w:themeShade="BF"/>
          <w:sz w:val="32"/>
          <w:szCs w:val="32"/>
        </w:rPr>
        <w:t>Stakeholder Interaction &amp; Partnerships</w:t>
      </w:r>
    </w:p>
    <w:p w14:paraId="149997EC" w14:textId="68038BAC" w:rsidR="32CCD336" w:rsidRDefault="32CCD336" w:rsidP="77BE0170">
      <w:pPr>
        <w:spacing w:beforeAutospacing="1" w:after="120" w:line="240" w:lineRule="auto"/>
        <w:jc w:val="both"/>
        <w:rPr>
          <w:rFonts w:ascii="Calibri Light" w:eastAsia="Calibri Light" w:hAnsi="Calibri Light" w:cs="Calibri Light"/>
          <w:color w:val="000000" w:themeColor="text1"/>
          <w:sz w:val="24"/>
          <w:szCs w:val="24"/>
        </w:rPr>
      </w:pPr>
      <w:r w:rsidRPr="77BE0170">
        <w:rPr>
          <w:rFonts w:ascii="Calibri Light" w:eastAsia="Calibri Light" w:hAnsi="Calibri Light" w:cs="Calibri Light"/>
          <w:color w:val="000000" w:themeColor="text1"/>
          <w:sz w:val="24"/>
          <w:szCs w:val="24"/>
        </w:rPr>
        <w:t>The FFC will work continuously with its stakeholders, including the National Directorate for Fire and Emergency Management, Office of Public Works and Local Authorities, to provide support and gather feedback regarding the provision and use of its products and services. Feedback will be gathered via email, phone and periodic surveys of stakeholders. In addition, workshops will be planned for the SWFLM (Severe Weather Flood Liaison Manager) and SWAT (Severe Weather Assessment Team) team members from each Local Authority. Training will be provided for the users of IFICS. The FFC will develop, maintain and make available training materials. In addition, training sessions will be hosted for IFICS users. Will also maintain close contact with our colleagues working in the European Flood Awareness System, as well as other international partners including other National Meteorological and Hydrological services.</w:t>
      </w:r>
    </w:p>
    <w:p w14:paraId="683307AF" w14:textId="4C77EEE5" w:rsidR="32CCD336" w:rsidRDefault="32CCD336" w:rsidP="77BE0170">
      <w:pPr>
        <w:pStyle w:val="ListParagraph"/>
        <w:keepNext/>
        <w:keepLines/>
        <w:numPr>
          <w:ilvl w:val="0"/>
          <w:numId w:val="5"/>
        </w:numPr>
        <w:spacing w:beforeAutospacing="1" w:after="0" w:line="240" w:lineRule="auto"/>
        <w:jc w:val="both"/>
        <w:rPr>
          <w:rFonts w:ascii="Calibri Light" w:eastAsia="Calibri Light" w:hAnsi="Calibri Light" w:cs="Calibri Light"/>
          <w:color w:val="2F5496" w:themeColor="accent1" w:themeShade="BF"/>
          <w:sz w:val="32"/>
          <w:szCs w:val="32"/>
        </w:rPr>
      </w:pPr>
      <w:r w:rsidRPr="77BE0170">
        <w:rPr>
          <w:rStyle w:val="Strong"/>
          <w:rFonts w:ascii="Calibri Light" w:eastAsia="Calibri Light" w:hAnsi="Calibri Light" w:cs="Calibri Light"/>
          <w:b w:val="0"/>
          <w:bCs w:val="0"/>
          <w:color w:val="2F5496" w:themeColor="accent1" w:themeShade="BF"/>
          <w:sz w:val="32"/>
          <w:szCs w:val="32"/>
        </w:rPr>
        <w:lastRenderedPageBreak/>
        <w:t>Service Operations</w:t>
      </w:r>
    </w:p>
    <w:p w14:paraId="14F05C3F" w14:textId="615B20D9" w:rsidR="32CCD336" w:rsidRDefault="32CCD336" w:rsidP="77BE0170">
      <w:pPr>
        <w:spacing w:beforeAutospacing="1" w:after="120" w:line="240" w:lineRule="auto"/>
        <w:jc w:val="both"/>
        <w:rPr>
          <w:rFonts w:ascii="Calibri Light" w:eastAsia="Calibri Light" w:hAnsi="Calibri Light" w:cs="Calibri Light"/>
          <w:color w:val="000000" w:themeColor="text1"/>
          <w:sz w:val="24"/>
          <w:szCs w:val="24"/>
        </w:rPr>
      </w:pPr>
      <w:r w:rsidRPr="77BE0170">
        <w:rPr>
          <w:rFonts w:ascii="Calibri Light" w:eastAsia="Calibri Light" w:hAnsi="Calibri Light" w:cs="Calibri Light"/>
          <w:color w:val="000000" w:themeColor="text1"/>
          <w:sz w:val="24"/>
          <w:szCs w:val="24"/>
        </w:rPr>
        <w:t>The operational functions of the FFC will be within Met Éireann’s management function and under the oversight of the NFFWS steering group.</w:t>
      </w:r>
    </w:p>
    <w:p w14:paraId="7F7AC039" w14:textId="30FAD8A6" w:rsidR="32CCD336" w:rsidRDefault="009B49A6" w:rsidP="77BE0170">
      <w:pPr>
        <w:pStyle w:val="Heading2"/>
        <w:spacing w:beforeAutospacing="1" w:line="240" w:lineRule="auto"/>
        <w:jc w:val="both"/>
        <w:rPr>
          <w:rFonts w:ascii="Calibri Light" w:eastAsia="Calibri Light" w:hAnsi="Calibri Light" w:cs="Calibri Light"/>
          <w:b/>
          <w:bCs/>
          <w:color w:val="1F3763"/>
          <w:sz w:val="24"/>
          <w:szCs w:val="24"/>
        </w:rPr>
      </w:pPr>
      <w:r>
        <w:rPr>
          <w:rFonts w:ascii="Calibri Light" w:eastAsia="Calibri Light" w:hAnsi="Calibri Light" w:cs="Calibri Light"/>
          <w:b/>
          <w:bCs/>
          <w:color w:val="1F3763"/>
          <w:sz w:val="24"/>
          <w:szCs w:val="24"/>
        </w:rPr>
        <w:t>5.1</w:t>
      </w:r>
      <w:r>
        <w:rPr>
          <w:rFonts w:ascii="Calibri Light" w:eastAsia="Calibri Light" w:hAnsi="Calibri Light" w:cs="Calibri Light"/>
          <w:b/>
          <w:bCs/>
          <w:color w:val="1F3763"/>
          <w:sz w:val="24"/>
          <w:szCs w:val="24"/>
        </w:rPr>
        <w:tab/>
      </w:r>
      <w:r w:rsidR="32CCD336" w:rsidRPr="77BE0170">
        <w:rPr>
          <w:rFonts w:ascii="Calibri Light" w:eastAsia="Calibri Light" w:hAnsi="Calibri Light" w:cs="Calibri Light"/>
          <w:b/>
          <w:bCs/>
          <w:color w:val="1F3763"/>
          <w:sz w:val="24"/>
          <w:szCs w:val="24"/>
        </w:rPr>
        <w:t>Evaluation and service improvement</w:t>
      </w:r>
    </w:p>
    <w:p w14:paraId="2B56DFE1" w14:textId="23FF1760" w:rsidR="32CCD336" w:rsidRDefault="32CCD336" w:rsidP="77BE0170">
      <w:pPr>
        <w:spacing w:beforeAutospacing="1" w:after="120" w:line="240" w:lineRule="auto"/>
        <w:jc w:val="both"/>
        <w:rPr>
          <w:rFonts w:ascii="Calibri Light" w:eastAsia="Calibri Light" w:hAnsi="Calibri Light" w:cs="Calibri Light"/>
          <w:color w:val="000000" w:themeColor="text1"/>
          <w:sz w:val="24"/>
          <w:szCs w:val="24"/>
        </w:rPr>
      </w:pPr>
      <w:r w:rsidRPr="77BE0170">
        <w:rPr>
          <w:rFonts w:ascii="Calibri Light" w:eastAsia="Calibri Light" w:hAnsi="Calibri Light" w:cs="Calibri Light"/>
          <w:color w:val="000000" w:themeColor="text1"/>
          <w:sz w:val="24"/>
          <w:szCs w:val="24"/>
        </w:rPr>
        <w:t>The FFC is committed to ongoing assessment and improvement of coastal and hydrological models, with a focus on rigorous evaluation and the use of statistical measures to gauge its accuracy and reliability over time.</w:t>
      </w:r>
    </w:p>
    <w:p w14:paraId="5906F4AB" w14:textId="5E5F8AFB" w:rsidR="32CCD336" w:rsidRDefault="32CCD336" w:rsidP="77BE0170">
      <w:pPr>
        <w:spacing w:beforeAutospacing="1" w:after="120" w:line="240" w:lineRule="auto"/>
        <w:jc w:val="both"/>
        <w:rPr>
          <w:rFonts w:ascii="Calibri Light" w:eastAsia="Calibri Light" w:hAnsi="Calibri Light" w:cs="Calibri Light"/>
          <w:color w:val="000000" w:themeColor="text1"/>
          <w:sz w:val="24"/>
          <w:szCs w:val="24"/>
        </w:rPr>
      </w:pPr>
      <w:r w:rsidRPr="77BE0170">
        <w:rPr>
          <w:rFonts w:ascii="Calibri Light" w:eastAsia="Calibri Light" w:hAnsi="Calibri Light" w:cs="Calibri Light"/>
          <w:color w:val="000000" w:themeColor="text1"/>
          <w:sz w:val="24"/>
          <w:szCs w:val="24"/>
        </w:rPr>
        <w:t>With respect to the evaluation of coastal and hydrological models' performance, the FFC will conduct regular reviews, including the preparation of a comprehensive annual report. These assessments will employ statistical methods and skill scores to precisely measure and track the models' performance and the reliability of their forecasts over time. Key performance metrics will include the Kling-Gupta efficiency (KGE), as well as correlation, bias and variance ratios. The metric is widely used for verification in a hydrological context including in the evaluation of the European Flood Awareness System (EFAS). Additionally, the FFC will assess how well the models perform under various lead times for forecast runs. Attention will also be given to how well flood peaks are captured using contingency tables.</w:t>
      </w:r>
    </w:p>
    <w:p w14:paraId="2CD988CA" w14:textId="57625819" w:rsidR="32CCD336" w:rsidRDefault="32CCD336" w:rsidP="77BE0170">
      <w:pPr>
        <w:spacing w:beforeAutospacing="1" w:after="120" w:line="240" w:lineRule="auto"/>
        <w:jc w:val="both"/>
        <w:rPr>
          <w:rFonts w:ascii="Calibri Light" w:eastAsia="Calibri Light" w:hAnsi="Calibri Light" w:cs="Calibri Light"/>
          <w:color w:val="000000" w:themeColor="text1"/>
          <w:sz w:val="24"/>
          <w:szCs w:val="24"/>
        </w:rPr>
      </w:pPr>
      <w:r w:rsidRPr="77BE0170">
        <w:rPr>
          <w:rFonts w:ascii="Calibri Light" w:eastAsia="Calibri Light" w:hAnsi="Calibri Light" w:cs="Calibri Light"/>
          <w:color w:val="000000" w:themeColor="text1"/>
          <w:sz w:val="24"/>
          <w:szCs w:val="24"/>
        </w:rPr>
        <w:t>Specifically, for the HYPE model, the FFC will evaluate the performance of the flood forecasting system over time by comparing forecasted values to those from reliable flow rate gauges at specific forecast points. This will provide a quantified measure of the correspondence between observed and forecasted discharge, giving a clear record of the system’s forecasting skill.</w:t>
      </w:r>
    </w:p>
    <w:p w14:paraId="208AA904" w14:textId="1E9B5D5A" w:rsidR="32CCD336" w:rsidRDefault="32CCD336" w:rsidP="77BE0170">
      <w:pPr>
        <w:spacing w:beforeAutospacing="1" w:after="120" w:line="240" w:lineRule="auto"/>
        <w:jc w:val="both"/>
        <w:rPr>
          <w:rFonts w:ascii="Calibri Light" w:eastAsia="Calibri Light" w:hAnsi="Calibri Light" w:cs="Calibri Light"/>
          <w:color w:val="000000" w:themeColor="text1"/>
          <w:sz w:val="24"/>
          <w:szCs w:val="24"/>
        </w:rPr>
      </w:pPr>
      <w:r w:rsidRPr="77BE0170">
        <w:rPr>
          <w:rFonts w:ascii="Calibri Light" w:eastAsia="Calibri Light" w:hAnsi="Calibri Light" w:cs="Calibri Light"/>
          <w:color w:val="000000" w:themeColor="text1"/>
          <w:sz w:val="24"/>
          <w:szCs w:val="24"/>
        </w:rPr>
        <w:t>Similarly, for the TSSF model, the FFC will analyse data from tide level gauges located along the coast, utilizing point-scale observations. In the context of coastal forecasting, the FFC will closely examine the agreement between forecasted and observed water level heights using the KGE metric and contingency tables to quantify and track performance.</w:t>
      </w:r>
    </w:p>
    <w:p w14:paraId="17FDECED" w14:textId="15E5642B" w:rsidR="32CCD336" w:rsidRDefault="32CCD336" w:rsidP="77BE0170">
      <w:pPr>
        <w:spacing w:beforeAutospacing="1" w:after="120" w:line="240" w:lineRule="auto"/>
        <w:jc w:val="both"/>
        <w:rPr>
          <w:rFonts w:ascii="Calibri Light" w:eastAsia="Calibri Light" w:hAnsi="Calibri Light" w:cs="Calibri Light"/>
          <w:color w:val="000000" w:themeColor="text1"/>
          <w:sz w:val="24"/>
          <w:szCs w:val="24"/>
        </w:rPr>
      </w:pPr>
      <w:r w:rsidRPr="77BE0170">
        <w:rPr>
          <w:rFonts w:ascii="Calibri Light" w:eastAsia="Calibri Light" w:hAnsi="Calibri Light" w:cs="Calibri Light"/>
          <w:color w:val="000000" w:themeColor="text1"/>
          <w:sz w:val="24"/>
          <w:szCs w:val="24"/>
        </w:rPr>
        <w:t>The FFC acknowledges that the current limitations in fluvial and coastal observations may impact the comprehensiveness of our verification systems and performance assessments.</w:t>
      </w:r>
    </w:p>
    <w:p w14:paraId="338B4080" w14:textId="224A9526" w:rsidR="32CCD336" w:rsidRDefault="32CCD336" w:rsidP="77BE0170">
      <w:pPr>
        <w:spacing w:beforeAutospacing="1" w:after="120" w:line="240" w:lineRule="auto"/>
        <w:jc w:val="both"/>
        <w:rPr>
          <w:rFonts w:ascii="Calibri Light" w:eastAsia="Calibri Light" w:hAnsi="Calibri Light" w:cs="Calibri Light"/>
          <w:color w:val="000000" w:themeColor="text1"/>
          <w:sz w:val="24"/>
          <w:szCs w:val="24"/>
        </w:rPr>
      </w:pPr>
      <w:r w:rsidRPr="77BE0170">
        <w:rPr>
          <w:rFonts w:ascii="Calibri Light" w:eastAsia="Calibri Light" w:hAnsi="Calibri Light" w:cs="Calibri Light"/>
          <w:color w:val="000000" w:themeColor="text1"/>
          <w:sz w:val="24"/>
          <w:szCs w:val="24"/>
        </w:rPr>
        <w:t>The performance of the ICT systems which support the models (Delft-FEWS) and the communication system (IFICS) will also be assessed on an ongoing basis. This will include a review of operational reliability and support processes. These will be undertaken in conjunction with the system contractors as part of their performance reviews. Information on the performance of the systems will be used to inform future developments.</w:t>
      </w:r>
    </w:p>
    <w:p w14:paraId="3A13F836" w14:textId="75E89E4B" w:rsidR="32CCD336" w:rsidRDefault="32CCD336" w:rsidP="77BE0170">
      <w:pPr>
        <w:spacing w:beforeAutospacing="1" w:after="120" w:line="240" w:lineRule="auto"/>
        <w:jc w:val="both"/>
        <w:rPr>
          <w:rFonts w:ascii="Calibri Light" w:eastAsia="Calibri Light" w:hAnsi="Calibri Light" w:cs="Calibri Light"/>
          <w:color w:val="000000" w:themeColor="text1"/>
          <w:sz w:val="24"/>
          <w:szCs w:val="24"/>
        </w:rPr>
      </w:pPr>
      <w:r w:rsidRPr="77BE0170">
        <w:rPr>
          <w:rFonts w:ascii="Calibri Light" w:eastAsia="Calibri Light" w:hAnsi="Calibri Light" w:cs="Calibri Light"/>
          <w:color w:val="000000" w:themeColor="text1"/>
          <w:sz w:val="24"/>
          <w:szCs w:val="24"/>
        </w:rPr>
        <w:t xml:space="preserve">FFC are continuously in contact with its main stakeholders concerning the development and rollout of the services and products which the FFC will provide. It is planned that the FFC will meet periodically (quarterly) with its stakeholders to gather feedback on their level of satisfaction with the service. This will include at least one in-person meeting per year. Surveys will also be used to measure stakeholder engagement and to objectively quantify the level of satisfaction with the service. Information gathered from stakeholders will be used to identify areas for further improvement and to identify additional or emerging stakeholder </w:t>
      </w:r>
      <w:r w:rsidRPr="77BE0170">
        <w:rPr>
          <w:rFonts w:ascii="Calibri Light" w:eastAsia="Calibri Light" w:hAnsi="Calibri Light" w:cs="Calibri Light"/>
          <w:color w:val="000000" w:themeColor="text1"/>
          <w:sz w:val="24"/>
          <w:szCs w:val="24"/>
        </w:rPr>
        <w:lastRenderedPageBreak/>
        <w:t>requirements. Improvement and development plans along with associated schedules will be developed by the FFC.</w:t>
      </w:r>
    </w:p>
    <w:p w14:paraId="2C41EDB2" w14:textId="2AE61FC5" w:rsidR="32CCD336" w:rsidRDefault="32CCD336" w:rsidP="77BE0170">
      <w:pPr>
        <w:pStyle w:val="Heading2"/>
        <w:spacing w:beforeAutospacing="1" w:line="240" w:lineRule="auto"/>
        <w:jc w:val="both"/>
        <w:rPr>
          <w:rFonts w:ascii="Calibri Light" w:eastAsia="Calibri Light" w:hAnsi="Calibri Light" w:cs="Calibri Light"/>
          <w:b/>
          <w:bCs/>
          <w:color w:val="1F3763"/>
          <w:sz w:val="24"/>
          <w:szCs w:val="24"/>
        </w:rPr>
      </w:pPr>
      <w:r w:rsidRPr="77BE0170">
        <w:rPr>
          <w:rFonts w:ascii="Calibri Light" w:eastAsia="Calibri Light" w:hAnsi="Calibri Light" w:cs="Calibri Light"/>
          <w:b/>
          <w:bCs/>
          <w:color w:val="1F3763"/>
          <w:sz w:val="24"/>
          <w:szCs w:val="24"/>
        </w:rPr>
        <w:t>5.2</w:t>
      </w:r>
      <w:r>
        <w:tab/>
      </w:r>
      <w:r w:rsidRPr="77BE0170">
        <w:rPr>
          <w:rFonts w:ascii="Calibri Light" w:eastAsia="Calibri Light" w:hAnsi="Calibri Light" w:cs="Calibri Light"/>
          <w:b/>
          <w:bCs/>
          <w:color w:val="1F3763"/>
          <w:sz w:val="24"/>
          <w:szCs w:val="24"/>
        </w:rPr>
        <w:t>Development and Maintenance</w:t>
      </w:r>
    </w:p>
    <w:p w14:paraId="683D3EB8" w14:textId="686972E3" w:rsidR="32CCD336" w:rsidRDefault="32CCD336" w:rsidP="77BE0170">
      <w:pPr>
        <w:spacing w:beforeAutospacing="1" w:after="120" w:line="240" w:lineRule="auto"/>
        <w:jc w:val="both"/>
        <w:rPr>
          <w:rFonts w:ascii="Calibri Light" w:eastAsia="Calibri Light" w:hAnsi="Calibri Light" w:cs="Calibri Light"/>
          <w:color w:val="000000" w:themeColor="text1"/>
          <w:sz w:val="24"/>
          <w:szCs w:val="24"/>
        </w:rPr>
      </w:pPr>
      <w:r w:rsidRPr="77BE0170">
        <w:rPr>
          <w:rFonts w:ascii="Calibri Light" w:eastAsia="Calibri Light" w:hAnsi="Calibri Light" w:cs="Calibri Light"/>
          <w:color w:val="000000" w:themeColor="text1"/>
          <w:sz w:val="24"/>
          <w:szCs w:val="24"/>
        </w:rPr>
        <w:t xml:space="preserve">The FFC is staffed by trained hydrometeorologists. Their role is to develop flood forecasts, advisories and guidance and supply the products and services (outlined above). The FFC will have at full complement 11 staff, including 9 Hydrometeorologists. Currently there are 8 Hydrometeorologists employed in the FFD. There is a requirement for 2 more FTEs to deliver the TSSF service. Over the coming years periodic training is necessary to ensure all staff remain familiar and up to date with new developments in the relevant fields. New staff will require at least 6 months training. The role of staff is also to maintain the systems (IFICS, Delft-FEWS, and TSSF) which underpin the service. In this respect training of a more technical nature is also necessary. Staff will also be required to liaise with stakeholders to ensure communication of messaging is adequate and received. </w:t>
      </w:r>
    </w:p>
    <w:p w14:paraId="6823EF66" w14:textId="11F686B5" w:rsidR="32CCD336" w:rsidRDefault="32CCD336" w:rsidP="77BE0170">
      <w:pPr>
        <w:spacing w:beforeAutospacing="1" w:after="120" w:line="240" w:lineRule="auto"/>
        <w:jc w:val="both"/>
        <w:rPr>
          <w:rFonts w:ascii="Calibri Light" w:eastAsia="Calibri Light" w:hAnsi="Calibri Light" w:cs="Calibri Light"/>
          <w:color w:val="000000" w:themeColor="text1"/>
          <w:sz w:val="24"/>
          <w:szCs w:val="24"/>
        </w:rPr>
      </w:pPr>
      <w:r w:rsidRPr="77BE0170">
        <w:rPr>
          <w:rFonts w:ascii="Calibri Light" w:eastAsia="Calibri Light" w:hAnsi="Calibri Light" w:cs="Calibri Light"/>
          <w:color w:val="000000" w:themeColor="text1"/>
          <w:sz w:val="24"/>
          <w:szCs w:val="24"/>
        </w:rPr>
        <w:t>A Continuous Professional Development Plan will be used to ensure FFC staff remain up to date with advancements in the field of flood forecasting. It will also be necessary for enhancing the personal skills and knowledge of staff as well as for their ongoing career growth and effectiveness.</w:t>
      </w:r>
    </w:p>
    <w:p w14:paraId="3BC4489A" w14:textId="5E7C928C" w:rsidR="32CCD336" w:rsidRDefault="32CCD336" w:rsidP="77BE0170">
      <w:pPr>
        <w:spacing w:beforeAutospacing="1" w:after="120" w:line="240" w:lineRule="auto"/>
        <w:jc w:val="both"/>
        <w:rPr>
          <w:rFonts w:ascii="Calibri Light" w:eastAsia="Calibri Light" w:hAnsi="Calibri Light" w:cs="Calibri Light"/>
          <w:color w:val="000000" w:themeColor="text1"/>
          <w:sz w:val="24"/>
          <w:szCs w:val="24"/>
        </w:rPr>
      </w:pPr>
      <w:r w:rsidRPr="77BE0170">
        <w:rPr>
          <w:rFonts w:ascii="Calibri Light" w:eastAsia="Calibri Light" w:hAnsi="Calibri Light" w:cs="Calibri Light"/>
          <w:color w:val="000000" w:themeColor="text1"/>
          <w:sz w:val="24"/>
          <w:szCs w:val="24"/>
        </w:rPr>
        <w:t>Both the IFICS and Delft-FEWS systems, which support flood forecasting communications and fluvial forecasting respectively, are cloud based, have back-up systems and are geo resilient. They are both supported by their respective contractors via an on-call facility. IFICS and Delft-FEWS are currently in the maintenance phase their contracts and can remain so for at least the next 3 years. In the next 2 years preparatory work will therefore be required for the renewal or retendering of contracts. Over the next 3 years some development work will be required to improve these systems. This will be guided by performance reviews. These reviews will be conducted by the FFD through statistical verification and skill score analysis of the flood forecasting system over time at forecast points coinciding with the locations of reliable flow rated gauges.</w:t>
      </w:r>
    </w:p>
    <w:p w14:paraId="57E7D5DC" w14:textId="04A955E5" w:rsidR="32CCD336" w:rsidRDefault="32CCD336" w:rsidP="77BE0170">
      <w:pPr>
        <w:spacing w:beforeAutospacing="1" w:after="120" w:line="240" w:lineRule="auto"/>
        <w:jc w:val="both"/>
        <w:rPr>
          <w:rFonts w:ascii="Calibri Light" w:eastAsia="Calibri Light" w:hAnsi="Calibri Light" w:cs="Calibri Light"/>
          <w:color w:val="000000" w:themeColor="text1"/>
          <w:sz w:val="24"/>
          <w:szCs w:val="24"/>
        </w:rPr>
      </w:pPr>
      <w:r w:rsidRPr="77BE0170">
        <w:rPr>
          <w:rFonts w:ascii="Calibri Light" w:eastAsia="Calibri Light" w:hAnsi="Calibri Light" w:cs="Calibri Light"/>
          <w:color w:val="000000" w:themeColor="text1"/>
          <w:sz w:val="24"/>
          <w:szCs w:val="24"/>
        </w:rPr>
        <w:t>The TSSF model is run on the ECMWF’s HPC facility. It’s operation is monitored by staff at ECMWF. All staff of the FFC have been given training on troubleshooting the model and documentation has been developed to support monitoring and maintenance. Over the next 3 years some development work will be required to improve the TSSF model. This will be guided by performance reviews. These reviews will be conducted by the FFD through statistical verification and skill score analysis of the model’s performance over time at critical locations around the coast. It is also important to note that the TSSF model forecasts are archived. This will facilitate performance reviews by other interested parties.</w:t>
      </w:r>
    </w:p>
    <w:sectPr w:rsidR="32CCD336">
      <w:headerReference w:type="default" r:id="rId28"/>
      <w:footerReference w:type="default" r:id="rId2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891321B" w14:textId="77777777" w:rsidR="006C2C1F" w:rsidRDefault="006C2C1F">
      <w:pPr>
        <w:spacing w:after="0" w:line="240" w:lineRule="auto"/>
      </w:pPr>
      <w:r>
        <w:separator/>
      </w:r>
    </w:p>
  </w:endnote>
  <w:endnote w:type="continuationSeparator" w:id="0">
    <w:p w14:paraId="6AAA3690" w14:textId="77777777" w:rsidR="006C2C1F" w:rsidRDefault="006C2C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005"/>
      <w:gridCol w:w="3005"/>
      <w:gridCol w:w="3005"/>
    </w:tblGrid>
    <w:tr w:rsidR="77BE0170" w14:paraId="40514EC9" w14:textId="77777777" w:rsidTr="77BE0170">
      <w:trPr>
        <w:trHeight w:val="300"/>
      </w:trPr>
      <w:tc>
        <w:tcPr>
          <w:tcW w:w="3005" w:type="dxa"/>
        </w:tcPr>
        <w:p w14:paraId="7537DA45" w14:textId="04140663" w:rsidR="77BE0170" w:rsidRDefault="77BE0170" w:rsidP="77BE0170">
          <w:pPr>
            <w:pStyle w:val="Header"/>
            <w:ind w:left="-115"/>
          </w:pPr>
        </w:p>
      </w:tc>
      <w:tc>
        <w:tcPr>
          <w:tcW w:w="3005" w:type="dxa"/>
        </w:tcPr>
        <w:p w14:paraId="0EAD3E6B" w14:textId="3D176504" w:rsidR="77BE0170" w:rsidRDefault="77BE0170" w:rsidP="77BE0170">
          <w:pPr>
            <w:pStyle w:val="Header"/>
            <w:jc w:val="center"/>
          </w:pPr>
          <w:r>
            <w:fldChar w:fldCharType="begin"/>
          </w:r>
          <w:r>
            <w:instrText>PAGE</w:instrText>
          </w:r>
          <w:r>
            <w:fldChar w:fldCharType="separate"/>
          </w:r>
          <w:r w:rsidR="001E39D4">
            <w:rPr>
              <w:noProof/>
            </w:rPr>
            <w:t>21</w:t>
          </w:r>
          <w:r>
            <w:fldChar w:fldCharType="end"/>
          </w:r>
          <w:r>
            <w:t xml:space="preserve"> of </w:t>
          </w:r>
          <w:r>
            <w:fldChar w:fldCharType="begin"/>
          </w:r>
          <w:r>
            <w:instrText>NUMPAGES</w:instrText>
          </w:r>
          <w:r>
            <w:fldChar w:fldCharType="separate"/>
          </w:r>
          <w:r w:rsidR="001E39D4">
            <w:rPr>
              <w:noProof/>
            </w:rPr>
            <w:t>24</w:t>
          </w:r>
          <w:r>
            <w:fldChar w:fldCharType="end"/>
          </w:r>
        </w:p>
      </w:tc>
      <w:tc>
        <w:tcPr>
          <w:tcW w:w="3005" w:type="dxa"/>
        </w:tcPr>
        <w:p w14:paraId="0E4CF8DC" w14:textId="1FB08E01" w:rsidR="77BE0170" w:rsidRDefault="77BE0170" w:rsidP="77BE0170">
          <w:pPr>
            <w:pStyle w:val="Header"/>
            <w:ind w:right="-115"/>
            <w:jc w:val="right"/>
          </w:pPr>
        </w:p>
      </w:tc>
    </w:tr>
  </w:tbl>
  <w:p w14:paraId="13C677D4" w14:textId="76D28401" w:rsidR="77BE0170" w:rsidRDefault="77BE0170" w:rsidP="77BE017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E6C402D" w14:textId="77777777" w:rsidR="006C2C1F" w:rsidRDefault="006C2C1F">
      <w:pPr>
        <w:spacing w:after="0" w:line="240" w:lineRule="auto"/>
      </w:pPr>
      <w:r>
        <w:separator/>
      </w:r>
    </w:p>
  </w:footnote>
  <w:footnote w:type="continuationSeparator" w:id="0">
    <w:p w14:paraId="17DDFCAA" w14:textId="77777777" w:rsidR="006C2C1F" w:rsidRDefault="006C2C1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005"/>
      <w:gridCol w:w="3005"/>
      <w:gridCol w:w="3005"/>
    </w:tblGrid>
    <w:tr w:rsidR="77BE0170" w14:paraId="28DFEA68" w14:textId="77777777" w:rsidTr="77BE0170">
      <w:trPr>
        <w:trHeight w:val="300"/>
      </w:trPr>
      <w:tc>
        <w:tcPr>
          <w:tcW w:w="3005" w:type="dxa"/>
        </w:tcPr>
        <w:p w14:paraId="686310B0" w14:textId="74154269" w:rsidR="77BE0170" w:rsidRDefault="77BE0170" w:rsidP="77BE0170">
          <w:pPr>
            <w:pStyle w:val="Header"/>
            <w:ind w:left="-115"/>
          </w:pPr>
        </w:p>
      </w:tc>
      <w:tc>
        <w:tcPr>
          <w:tcW w:w="3005" w:type="dxa"/>
        </w:tcPr>
        <w:p w14:paraId="23E372ED" w14:textId="0B801113" w:rsidR="77BE0170" w:rsidRDefault="77BE0170" w:rsidP="77BE0170">
          <w:pPr>
            <w:pStyle w:val="Header"/>
            <w:jc w:val="center"/>
          </w:pPr>
        </w:p>
      </w:tc>
      <w:tc>
        <w:tcPr>
          <w:tcW w:w="3005" w:type="dxa"/>
        </w:tcPr>
        <w:p w14:paraId="77C69ADA" w14:textId="6C794515" w:rsidR="77BE0170" w:rsidRDefault="77BE0170" w:rsidP="77BE0170">
          <w:pPr>
            <w:pStyle w:val="Header"/>
            <w:ind w:right="-115"/>
            <w:jc w:val="right"/>
          </w:pPr>
        </w:p>
      </w:tc>
    </w:tr>
  </w:tbl>
  <w:p w14:paraId="36B51FD8" w14:textId="332BB869" w:rsidR="77BE0170" w:rsidRDefault="77BE0170" w:rsidP="77BE0170">
    <w:pPr>
      <w:pStyle w:val="Header"/>
    </w:pPr>
  </w:p>
</w:hdr>
</file>

<file path=word/intelligence2.xml><?xml version="1.0" encoding="utf-8"?>
<int2:intelligence xmlns:int2="http://schemas.microsoft.com/office/intelligence/2020/intelligence">
  <int2:observations>
    <int2:textHash int2:hashCode="fHn4+Ovy0KWqy5" int2:id="vn4yvYla">
      <int2:state int2:type="AugLoop_Text_Critique" int2:value="Rejected"/>
    </int2:textHash>
    <int2:bookmark int2:bookmarkName="_Int_DBh3s1ML" int2:invalidationBookmarkName="" int2:hashCode="+Ppq/I8cXnLbMG" int2:id="Ke1dttfb">
      <int2:state int2:type="AugLoop_Text_Critique" int2:value="Rejected"/>
    </int2:bookmark>
  </int2:observations>
  <int2:intelligenceSettings/>
</int2:intelligence>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CC5A28"/>
    <w:multiLevelType w:val="hybridMultilevel"/>
    <w:tmpl w:val="415A7ACE"/>
    <w:lvl w:ilvl="0" w:tplc="BA54B582">
      <w:start w:val="2"/>
      <w:numFmt w:val="decimal"/>
      <w:lvlText w:val="%1."/>
      <w:lvlJc w:val="left"/>
      <w:pPr>
        <w:ind w:left="720" w:hanging="360"/>
      </w:pPr>
    </w:lvl>
    <w:lvl w:ilvl="1" w:tplc="BFBE669E">
      <w:start w:val="1"/>
      <w:numFmt w:val="lowerLetter"/>
      <w:lvlText w:val="%2."/>
      <w:lvlJc w:val="left"/>
      <w:pPr>
        <w:ind w:left="1440" w:hanging="360"/>
      </w:pPr>
    </w:lvl>
    <w:lvl w:ilvl="2" w:tplc="4D8662BA">
      <w:start w:val="1"/>
      <w:numFmt w:val="lowerRoman"/>
      <w:lvlText w:val="%3."/>
      <w:lvlJc w:val="right"/>
      <w:pPr>
        <w:ind w:left="2160" w:hanging="180"/>
      </w:pPr>
    </w:lvl>
    <w:lvl w:ilvl="3" w:tplc="D95068B8">
      <w:start w:val="1"/>
      <w:numFmt w:val="decimal"/>
      <w:lvlText w:val="%4."/>
      <w:lvlJc w:val="left"/>
      <w:pPr>
        <w:ind w:left="2880" w:hanging="360"/>
      </w:pPr>
    </w:lvl>
    <w:lvl w:ilvl="4" w:tplc="CB4CDCFC">
      <w:start w:val="1"/>
      <w:numFmt w:val="lowerLetter"/>
      <w:lvlText w:val="%5."/>
      <w:lvlJc w:val="left"/>
      <w:pPr>
        <w:ind w:left="3600" w:hanging="360"/>
      </w:pPr>
    </w:lvl>
    <w:lvl w:ilvl="5" w:tplc="66648E4A">
      <w:start w:val="1"/>
      <w:numFmt w:val="lowerRoman"/>
      <w:lvlText w:val="%6."/>
      <w:lvlJc w:val="right"/>
      <w:pPr>
        <w:ind w:left="4320" w:hanging="180"/>
      </w:pPr>
    </w:lvl>
    <w:lvl w:ilvl="6" w:tplc="510EEB8C">
      <w:start w:val="1"/>
      <w:numFmt w:val="decimal"/>
      <w:lvlText w:val="%7."/>
      <w:lvlJc w:val="left"/>
      <w:pPr>
        <w:ind w:left="5040" w:hanging="360"/>
      </w:pPr>
    </w:lvl>
    <w:lvl w:ilvl="7" w:tplc="F9642E42">
      <w:start w:val="1"/>
      <w:numFmt w:val="lowerLetter"/>
      <w:lvlText w:val="%8."/>
      <w:lvlJc w:val="left"/>
      <w:pPr>
        <w:ind w:left="5760" w:hanging="360"/>
      </w:pPr>
    </w:lvl>
    <w:lvl w:ilvl="8" w:tplc="EEA60EB0">
      <w:start w:val="1"/>
      <w:numFmt w:val="lowerRoman"/>
      <w:lvlText w:val="%9."/>
      <w:lvlJc w:val="right"/>
      <w:pPr>
        <w:ind w:left="6480" w:hanging="180"/>
      </w:pPr>
    </w:lvl>
  </w:abstractNum>
  <w:abstractNum w:abstractNumId="1" w15:restartNumberingAfterBreak="0">
    <w:nsid w:val="134B2652"/>
    <w:multiLevelType w:val="hybridMultilevel"/>
    <w:tmpl w:val="42808654"/>
    <w:lvl w:ilvl="0" w:tplc="BA225CF2">
      <w:start w:val="2"/>
      <w:numFmt w:val="decimal"/>
      <w:lvlText w:val="%1."/>
      <w:lvlJc w:val="left"/>
      <w:pPr>
        <w:ind w:left="720" w:hanging="360"/>
      </w:pPr>
    </w:lvl>
    <w:lvl w:ilvl="1" w:tplc="1D48B052">
      <w:start w:val="1"/>
      <w:numFmt w:val="lowerLetter"/>
      <w:lvlText w:val="%2."/>
      <w:lvlJc w:val="left"/>
      <w:pPr>
        <w:ind w:left="1440" w:hanging="360"/>
      </w:pPr>
    </w:lvl>
    <w:lvl w:ilvl="2" w:tplc="BFEA1A32">
      <w:start w:val="1"/>
      <w:numFmt w:val="lowerRoman"/>
      <w:lvlText w:val="%3."/>
      <w:lvlJc w:val="right"/>
      <w:pPr>
        <w:ind w:left="2160" w:hanging="180"/>
      </w:pPr>
    </w:lvl>
    <w:lvl w:ilvl="3" w:tplc="4A6EAC92">
      <w:start w:val="1"/>
      <w:numFmt w:val="decimal"/>
      <w:lvlText w:val="%4."/>
      <w:lvlJc w:val="left"/>
      <w:pPr>
        <w:ind w:left="2880" w:hanging="360"/>
      </w:pPr>
    </w:lvl>
    <w:lvl w:ilvl="4" w:tplc="DA6ACC08">
      <w:start w:val="1"/>
      <w:numFmt w:val="lowerLetter"/>
      <w:lvlText w:val="%5."/>
      <w:lvlJc w:val="left"/>
      <w:pPr>
        <w:ind w:left="3600" w:hanging="360"/>
      </w:pPr>
    </w:lvl>
    <w:lvl w:ilvl="5" w:tplc="0720C424">
      <w:start w:val="1"/>
      <w:numFmt w:val="lowerRoman"/>
      <w:lvlText w:val="%6."/>
      <w:lvlJc w:val="right"/>
      <w:pPr>
        <w:ind w:left="4320" w:hanging="180"/>
      </w:pPr>
    </w:lvl>
    <w:lvl w:ilvl="6" w:tplc="15522E54">
      <w:start w:val="1"/>
      <w:numFmt w:val="decimal"/>
      <w:lvlText w:val="%7."/>
      <w:lvlJc w:val="left"/>
      <w:pPr>
        <w:ind w:left="5040" w:hanging="360"/>
      </w:pPr>
    </w:lvl>
    <w:lvl w:ilvl="7" w:tplc="D50CD082">
      <w:start w:val="1"/>
      <w:numFmt w:val="lowerLetter"/>
      <w:lvlText w:val="%8."/>
      <w:lvlJc w:val="left"/>
      <w:pPr>
        <w:ind w:left="5760" w:hanging="360"/>
      </w:pPr>
    </w:lvl>
    <w:lvl w:ilvl="8" w:tplc="C2723032">
      <w:start w:val="1"/>
      <w:numFmt w:val="lowerRoman"/>
      <w:lvlText w:val="%9."/>
      <w:lvlJc w:val="right"/>
      <w:pPr>
        <w:ind w:left="6480" w:hanging="180"/>
      </w:pPr>
    </w:lvl>
  </w:abstractNum>
  <w:abstractNum w:abstractNumId="2" w15:restartNumberingAfterBreak="0">
    <w:nsid w:val="1E535FAA"/>
    <w:multiLevelType w:val="hybridMultilevel"/>
    <w:tmpl w:val="5CC68F12"/>
    <w:lvl w:ilvl="0" w:tplc="32567D00">
      <w:start w:val="4"/>
      <w:numFmt w:val="decimal"/>
      <w:lvlText w:val="%1."/>
      <w:lvlJc w:val="left"/>
      <w:pPr>
        <w:ind w:left="720" w:hanging="360"/>
      </w:pPr>
    </w:lvl>
    <w:lvl w:ilvl="1" w:tplc="CAE2EBC2">
      <w:start w:val="1"/>
      <w:numFmt w:val="lowerLetter"/>
      <w:lvlText w:val="%2."/>
      <w:lvlJc w:val="left"/>
      <w:pPr>
        <w:ind w:left="1440" w:hanging="360"/>
      </w:pPr>
    </w:lvl>
    <w:lvl w:ilvl="2" w:tplc="36B2C158">
      <w:start w:val="1"/>
      <w:numFmt w:val="lowerRoman"/>
      <w:lvlText w:val="%3."/>
      <w:lvlJc w:val="right"/>
      <w:pPr>
        <w:ind w:left="2160" w:hanging="180"/>
      </w:pPr>
    </w:lvl>
    <w:lvl w:ilvl="3" w:tplc="BEB6DDCE">
      <w:start w:val="1"/>
      <w:numFmt w:val="decimal"/>
      <w:lvlText w:val="%4."/>
      <w:lvlJc w:val="left"/>
      <w:pPr>
        <w:ind w:left="2880" w:hanging="360"/>
      </w:pPr>
    </w:lvl>
    <w:lvl w:ilvl="4" w:tplc="A53A1E72">
      <w:start w:val="1"/>
      <w:numFmt w:val="lowerLetter"/>
      <w:lvlText w:val="%5."/>
      <w:lvlJc w:val="left"/>
      <w:pPr>
        <w:ind w:left="3600" w:hanging="360"/>
      </w:pPr>
    </w:lvl>
    <w:lvl w:ilvl="5" w:tplc="67324B90">
      <w:start w:val="1"/>
      <w:numFmt w:val="lowerRoman"/>
      <w:lvlText w:val="%6."/>
      <w:lvlJc w:val="right"/>
      <w:pPr>
        <w:ind w:left="4320" w:hanging="180"/>
      </w:pPr>
    </w:lvl>
    <w:lvl w:ilvl="6" w:tplc="2A36C7D6">
      <w:start w:val="1"/>
      <w:numFmt w:val="decimal"/>
      <w:lvlText w:val="%7."/>
      <w:lvlJc w:val="left"/>
      <w:pPr>
        <w:ind w:left="5040" w:hanging="360"/>
      </w:pPr>
    </w:lvl>
    <w:lvl w:ilvl="7" w:tplc="05B2C37A">
      <w:start w:val="1"/>
      <w:numFmt w:val="lowerLetter"/>
      <w:lvlText w:val="%8."/>
      <w:lvlJc w:val="left"/>
      <w:pPr>
        <w:ind w:left="5760" w:hanging="360"/>
      </w:pPr>
    </w:lvl>
    <w:lvl w:ilvl="8" w:tplc="A438AA3C">
      <w:start w:val="1"/>
      <w:numFmt w:val="lowerRoman"/>
      <w:lvlText w:val="%9."/>
      <w:lvlJc w:val="right"/>
      <w:pPr>
        <w:ind w:left="6480" w:hanging="180"/>
      </w:pPr>
    </w:lvl>
  </w:abstractNum>
  <w:abstractNum w:abstractNumId="3" w15:restartNumberingAfterBreak="0">
    <w:nsid w:val="209AB13C"/>
    <w:multiLevelType w:val="hybridMultilevel"/>
    <w:tmpl w:val="84542872"/>
    <w:lvl w:ilvl="0" w:tplc="1BD8A74E">
      <w:start w:val="1"/>
      <w:numFmt w:val="bullet"/>
      <w:lvlText w:val="§"/>
      <w:lvlJc w:val="left"/>
      <w:pPr>
        <w:ind w:left="360" w:hanging="360"/>
      </w:pPr>
      <w:rPr>
        <w:rFonts w:ascii="Wingdings" w:hAnsi="Wingdings" w:hint="default"/>
      </w:rPr>
    </w:lvl>
    <w:lvl w:ilvl="1" w:tplc="F70AC308">
      <w:start w:val="1"/>
      <w:numFmt w:val="bullet"/>
      <w:lvlText w:val="o"/>
      <w:lvlJc w:val="left"/>
      <w:pPr>
        <w:ind w:left="1080" w:hanging="360"/>
      </w:pPr>
      <w:rPr>
        <w:rFonts w:ascii="Courier New" w:hAnsi="Courier New" w:hint="default"/>
      </w:rPr>
    </w:lvl>
    <w:lvl w:ilvl="2" w:tplc="AEA801C6">
      <w:start w:val="1"/>
      <w:numFmt w:val="bullet"/>
      <w:lvlText w:val=""/>
      <w:lvlJc w:val="left"/>
      <w:pPr>
        <w:ind w:left="1800" w:hanging="360"/>
      </w:pPr>
      <w:rPr>
        <w:rFonts w:ascii="Wingdings" w:hAnsi="Wingdings" w:hint="default"/>
      </w:rPr>
    </w:lvl>
    <w:lvl w:ilvl="3" w:tplc="8AC4E1B6">
      <w:start w:val="1"/>
      <w:numFmt w:val="bullet"/>
      <w:lvlText w:val=""/>
      <w:lvlJc w:val="left"/>
      <w:pPr>
        <w:ind w:left="2520" w:hanging="360"/>
      </w:pPr>
      <w:rPr>
        <w:rFonts w:ascii="Symbol" w:hAnsi="Symbol" w:hint="default"/>
      </w:rPr>
    </w:lvl>
    <w:lvl w:ilvl="4" w:tplc="B4BE8A22">
      <w:start w:val="1"/>
      <w:numFmt w:val="bullet"/>
      <w:lvlText w:val="o"/>
      <w:lvlJc w:val="left"/>
      <w:pPr>
        <w:ind w:left="3240" w:hanging="360"/>
      </w:pPr>
      <w:rPr>
        <w:rFonts w:ascii="Courier New" w:hAnsi="Courier New" w:hint="default"/>
      </w:rPr>
    </w:lvl>
    <w:lvl w:ilvl="5" w:tplc="9E6297E0">
      <w:start w:val="1"/>
      <w:numFmt w:val="bullet"/>
      <w:lvlText w:val=""/>
      <w:lvlJc w:val="left"/>
      <w:pPr>
        <w:ind w:left="3960" w:hanging="360"/>
      </w:pPr>
      <w:rPr>
        <w:rFonts w:ascii="Wingdings" w:hAnsi="Wingdings" w:hint="default"/>
      </w:rPr>
    </w:lvl>
    <w:lvl w:ilvl="6" w:tplc="E758DFB2">
      <w:start w:val="1"/>
      <w:numFmt w:val="bullet"/>
      <w:lvlText w:val=""/>
      <w:lvlJc w:val="left"/>
      <w:pPr>
        <w:ind w:left="4680" w:hanging="360"/>
      </w:pPr>
      <w:rPr>
        <w:rFonts w:ascii="Symbol" w:hAnsi="Symbol" w:hint="default"/>
      </w:rPr>
    </w:lvl>
    <w:lvl w:ilvl="7" w:tplc="62DC16EE">
      <w:start w:val="1"/>
      <w:numFmt w:val="bullet"/>
      <w:lvlText w:val="o"/>
      <w:lvlJc w:val="left"/>
      <w:pPr>
        <w:ind w:left="5400" w:hanging="360"/>
      </w:pPr>
      <w:rPr>
        <w:rFonts w:ascii="Courier New" w:hAnsi="Courier New" w:hint="default"/>
      </w:rPr>
    </w:lvl>
    <w:lvl w:ilvl="8" w:tplc="1458EB4C">
      <w:start w:val="1"/>
      <w:numFmt w:val="bullet"/>
      <w:lvlText w:val=""/>
      <w:lvlJc w:val="left"/>
      <w:pPr>
        <w:ind w:left="6120" w:hanging="360"/>
      </w:pPr>
      <w:rPr>
        <w:rFonts w:ascii="Wingdings" w:hAnsi="Wingdings" w:hint="default"/>
      </w:rPr>
    </w:lvl>
  </w:abstractNum>
  <w:abstractNum w:abstractNumId="4" w15:restartNumberingAfterBreak="0">
    <w:nsid w:val="217D9965"/>
    <w:multiLevelType w:val="hybridMultilevel"/>
    <w:tmpl w:val="3B4411C4"/>
    <w:lvl w:ilvl="0" w:tplc="E11A612C">
      <w:start w:val="3"/>
      <w:numFmt w:val="decimal"/>
      <w:lvlText w:val="%1."/>
      <w:lvlJc w:val="left"/>
      <w:pPr>
        <w:ind w:left="720" w:hanging="360"/>
      </w:pPr>
    </w:lvl>
    <w:lvl w:ilvl="1" w:tplc="3E2A4B1E">
      <w:start w:val="1"/>
      <w:numFmt w:val="lowerLetter"/>
      <w:lvlText w:val="%2."/>
      <w:lvlJc w:val="left"/>
      <w:pPr>
        <w:ind w:left="1440" w:hanging="360"/>
      </w:pPr>
    </w:lvl>
    <w:lvl w:ilvl="2" w:tplc="431CDE04">
      <w:start w:val="1"/>
      <w:numFmt w:val="lowerRoman"/>
      <w:lvlText w:val="%3."/>
      <w:lvlJc w:val="right"/>
      <w:pPr>
        <w:ind w:left="2160" w:hanging="180"/>
      </w:pPr>
    </w:lvl>
    <w:lvl w:ilvl="3" w:tplc="FB3CE478">
      <w:start w:val="1"/>
      <w:numFmt w:val="decimal"/>
      <w:lvlText w:val="%4."/>
      <w:lvlJc w:val="left"/>
      <w:pPr>
        <w:ind w:left="2880" w:hanging="360"/>
      </w:pPr>
    </w:lvl>
    <w:lvl w:ilvl="4" w:tplc="612E7840">
      <w:start w:val="1"/>
      <w:numFmt w:val="lowerLetter"/>
      <w:lvlText w:val="%5."/>
      <w:lvlJc w:val="left"/>
      <w:pPr>
        <w:ind w:left="3600" w:hanging="360"/>
      </w:pPr>
    </w:lvl>
    <w:lvl w:ilvl="5" w:tplc="8A0A20FE">
      <w:start w:val="1"/>
      <w:numFmt w:val="lowerRoman"/>
      <w:lvlText w:val="%6."/>
      <w:lvlJc w:val="right"/>
      <w:pPr>
        <w:ind w:left="4320" w:hanging="180"/>
      </w:pPr>
    </w:lvl>
    <w:lvl w:ilvl="6" w:tplc="24F66498">
      <w:start w:val="1"/>
      <w:numFmt w:val="decimal"/>
      <w:lvlText w:val="%7."/>
      <w:lvlJc w:val="left"/>
      <w:pPr>
        <w:ind w:left="5040" w:hanging="360"/>
      </w:pPr>
    </w:lvl>
    <w:lvl w:ilvl="7" w:tplc="AAA2AB9A">
      <w:start w:val="1"/>
      <w:numFmt w:val="lowerLetter"/>
      <w:lvlText w:val="%8."/>
      <w:lvlJc w:val="left"/>
      <w:pPr>
        <w:ind w:left="5760" w:hanging="360"/>
      </w:pPr>
    </w:lvl>
    <w:lvl w:ilvl="8" w:tplc="C646E2A4">
      <w:start w:val="1"/>
      <w:numFmt w:val="lowerRoman"/>
      <w:lvlText w:val="%9."/>
      <w:lvlJc w:val="right"/>
      <w:pPr>
        <w:ind w:left="6480" w:hanging="180"/>
      </w:pPr>
    </w:lvl>
  </w:abstractNum>
  <w:abstractNum w:abstractNumId="5" w15:restartNumberingAfterBreak="0">
    <w:nsid w:val="27611A3B"/>
    <w:multiLevelType w:val="hybridMultilevel"/>
    <w:tmpl w:val="2ACE7ACA"/>
    <w:lvl w:ilvl="0" w:tplc="348C5DFC">
      <w:start w:val="4"/>
      <w:numFmt w:val="decimal"/>
      <w:lvlText w:val="%1."/>
      <w:lvlJc w:val="left"/>
      <w:pPr>
        <w:ind w:left="720" w:hanging="360"/>
      </w:pPr>
    </w:lvl>
    <w:lvl w:ilvl="1" w:tplc="EA242ACE">
      <w:start w:val="1"/>
      <w:numFmt w:val="lowerLetter"/>
      <w:lvlText w:val="%2."/>
      <w:lvlJc w:val="left"/>
      <w:pPr>
        <w:ind w:left="1440" w:hanging="360"/>
      </w:pPr>
    </w:lvl>
    <w:lvl w:ilvl="2" w:tplc="AED00E0E">
      <w:start w:val="1"/>
      <w:numFmt w:val="lowerRoman"/>
      <w:lvlText w:val="%3."/>
      <w:lvlJc w:val="right"/>
      <w:pPr>
        <w:ind w:left="2160" w:hanging="180"/>
      </w:pPr>
    </w:lvl>
    <w:lvl w:ilvl="3" w:tplc="74DA70E2">
      <w:start w:val="1"/>
      <w:numFmt w:val="decimal"/>
      <w:lvlText w:val="%4."/>
      <w:lvlJc w:val="left"/>
      <w:pPr>
        <w:ind w:left="2880" w:hanging="360"/>
      </w:pPr>
    </w:lvl>
    <w:lvl w:ilvl="4" w:tplc="F014DDC0">
      <w:start w:val="1"/>
      <w:numFmt w:val="lowerLetter"/>
      <w:lvlText w:val="%5."/>
      <w:lvlJc w:val="left"/>
      <w:pPr>
        <w:ind w:left="3600" w:hanging="360"/>
      </w:pPr>
    </w:lvl>
    <w:lvl w:ilvl="5" w:tplc="B53C6F7A">
      <w:start w:val="1"/>
      <w:numFmt w:val="lowerRoman"/>
      <w:lvlText w:val="%6."/>
      <w:lvlJc w:val="right"/>
      <w:pPr>
        <w:ind w:left="4320" w:hanging="180"/>
      </w:pPr>
    </w:lvl>
    <w:lvl w:ilvl="6" w:tplc="177899C8">
      <w:start w:val="1"/>
      <w:numFmt w:val="decimal"/>
      <w:lvlText w:val="%7."/>
      <w:lvlJc w:val="left"/>
      <w:pPr>
        <w:ind w:left="5040" w:hanging="360"/>
      </w:pPr>
    </w:lvl>
    <w:lvl w:ilvl="7" w:tplc="F71C7CAE">
      <w:start w:val="1"/>
      <w:numFmt w:val="lowerLetter"/>
      <w:lvlText w:val="%8."/>
      <w:lvlJc w:val="left"/>
      <w:pPr>
        <w:ind w:left="5760" w:hanging="360"/>
      </w:pPr>
    </w:lvl>
    <w:lvl w:ilvl="8" w:tplc="A2BEDC0A">
      <w:start w:val="1"/>
      <w:numFmt w:val="lowerRoman"/>
      <w:lvlText w:val="%9."/>
      <w:lvlJc w:val="right"/>
      <w:pPr>
        <w:ind w:left="6480" w:hanging="180"/>
      </w:pPr>
    </w:lvl>
  </w:abstractNum>
  <w:abstractNum w:abstractNumId="6" w15:restartNumberingAfterBreak="0">
    <w:nsid w:val="2C13EEAF"/>
    <w:multiLevelType w:val="hybridMultilevel"/>
    <w:tmpl w:val="6C4074F0"/>
    <w:lvl w:ilvl="0" w:tplc="942A960E">
      <w:start w:val="1"/>
      <w:numFmt w:val="decimal"/>
      <w:lvlText w:val="%1."/>
      <w:lvlJc w:val="left"/>
      <w:pPr>
        <w:ind w:left="720" w:hanging="360"/>
      </w:pPr>
    </w:lvl>
    <w:lvl w:ilvl="1" w:tplc="1C0667A2">
      <w:start w:val="1"/>
      <w:numFmt w:val="lowerLetter"/>
      <w:lvlText w:val="%2."/>
      <w:lvlJc w:val="left"/>
      <w:pPr>
        <w:ind w:left="1440" w:hanging="360"/>
      </w:pPr>
    </w:lvl>
    <w:lvl w:ilvl="2" w:tplc="527E289A">
      <w:start w:val="1"/>
      <w:numFmt w:val="lowerRoman"/>
      <w:lvlText w:val="%3."/>
      <w:lvlJc w:val="right"/>
      <w:pPr>
        <w:ind w:left="2160" w:hanging="180"/>
      </w:pPr>
    </w:lvl>
    <w:lvl w:ilvl="3" w:tplc="1512B368">
      <w:start w:val="1"/>
      <w:numFmt w:val="decimal"/>
      <w:lvlText w:val="%4."/>
      <w:lvlJc w:val="left"/>
      <w:pPr>
        <w:ind w:left="2880" w:hanging="360"/>
      </w:pPr>
    </w:lvl>
    <w:lvl w:ilvl="4" w:tplc="3B2C7462">
      <w:start w:val="1"/>
      <w:numFmt w:val="lowerLetter"/>
      <w:lvlText w:val="%5."/>
      <w:lvlJc w:val="left"/>
      <w:pPr>
        <w:ind w:left="3600" w:hanging="360"/>
      </w:pPr>
    </w:lvl>
    <w:lvl w:ilvl="5" w:tplc="47A4E15C">
      <w:start w:val="1"/>
      <w:numFmt w:val="lowerRoman"/>
      <w:lvlText w:val="%6."/>
      <w:lvlJc w:val="right"/>
      <w:pPr>
        <w:ind w:left="4320" w:hanging="180"/>
      </w:pPr>
    </w:lvl>
    <w:lvl w:ilvl="6" w:tplc="3EB40EE4">
      <w:start w:val="1"/>
      <w:numFmt w:val="decimal"/>
      <w:lvlText w:val="%7."/>
      <w:lvlJc w:val="left"/>
      <w:pPr>
        <w:ind w:left="5040" w:hanging="360"/>
      </w:pPr>
    </w:lvl>
    <w:lvl w:ilvl="7" w:tplc="A45A8260">
      <w:start w:val="1"/>
      <w:numFmt w:val="lowerLetter"/>
      <w:lvlText w:val="%8."/>
      <w:lvlJc w:val="left"/>
      <w:pPr>
        <w:ind w:left="5760" w:hanging="360"/>
      </w:pPr>
    </w:lvl>
    <w:lvl w:ilvl="8" w:tplc="09821888">
      <w:start w:val="1"/>
      <w:numFmt w:val="lowerRoman"/>
      <w:lvlText w:val="%9."/>
      <w:lvlJc w:val="right"/>
      <w:pPr>
        <w:ind w:left="6480" w:hanging="180"/>
      </w:pPr>
    </w:lvl>
  </w:abstractNum>
  <w:abstractNum w:abstractNumId="7" w15:restartNumberingAfterBreak="0">
    <w:nsid w:val="33115092"/>
    <w:multiLevelType w:val="multilevel"/>
    <w:tmpl w:val="5450D77A"/>
    <w:lvl w:ilvl="0">
      <w:start w:val="1"/>
      <w:numFmt w:val="decimal"/>
      <w:lvlText w:val="%1."/>
      <w:lvlJc w:val="left"/>
      <w:pPr>
        <w:ind w:left="360" w:hanging="360"/>
      </w:pPr>
      <w:rPr>
        <w:rFonts w:hint="default"/>
        <w:b/>
        <w:bCs/>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792" w:hanging="432"/>
      </w:pPr>
      <w:rPr>
        <w:rFonts w:hint="default"/>
        <w:b w:val="0"/>
        <w:bCs/>
        <w:i w:val="0"/>
        <w:strike w:val="0"/>
        <w:dstrike w:val="0"/>
        <w:color w:val="000000"/>
        <w:sz w:val="20"/>
        <w:szCs w:val="24"/>
        <w:u w:val="none" w:color="000000"/>
        <w:bdr w:val="none" w:sz="0" w:space="0" w:color="auto"/>
        <w:shd w:val="clear" w:color="auto" w:fill="auto"/>
        <w:vertAlign w:val="baseline"/>
      </w:rPr>
    </w:lvl>
    <w:lvl w:ilvl="2">
      <w:start w:val="1"/>
      <w:numFmt w:val="decimal"/>
      <w:lvlText w:val="%1.%2.%3."/>
      <w:lvlJc w:val="left"/>
      <w:pPr>
        <w:ind w:left="1224" w:hanging="504"/>
      </w:pPr>
      <w:rPr>
        <w:rFonts w:hint="default"/>
        <w:b w:val="0"/>
        <w:bCs/>
        <w:i w:val="0"/>
        <w:strike w:val="0"/>
        <w:dstrike w:val="0"/>
        <w:color w:val="000000"/>
        <w:sz w:val="20"/>
        <w:szCs w:val="24"/>
        <w:u w:val="none" w:color="000000"/>
        <w:bdr w:val="none" w:sz="0" w:space="0" w:color="auto"/>
        <w:shd w:val="clear" w:color="auto" w:fill="auto"/>
        <w:vertAlign w:val="baseline"/>
      </w:rPr>
    </w:lvl>
    <w:lvl w:ilvl="3">
      <w:start w:val="1"/>
      <w:numFmt w:val="decimal"/>
      <w:lvlText w:val="%1.%2.%3.%4."/>
      <w:lvlJc w:val="left"/>
      <w:pPr>
        <w:ind w:left="1728" w:hanging="648"/>
      </w:pPr>
      <w:rPr>
        <w:rFonts w:hint="default"/>
        <w:b/>
        <w:bCs/>
        <w:i w:val="0"/>
        <w:strike w:val="0"/>
        <w:dstrike w:val="0"/>
        <w:color w:val="000000"/>
        <w:sz w:val="20"/>
        <w:szCs w:val="24"/>
        <w:u w:val="none" w:color="000000"/>
        <w:bdr w:val="none" w:sz="0" w:space="0" w:color="auto"/>
        <w:shd w:val="clear" w:color="auto" w:fill="auto"/>
        <w:vertAlign w:val="baseline"/>
      </w:rPr>
    </w:lvl>
    <w:lvl w:ilvl="4">
      <w:start w:val="1"/>
      <w:numFmt w:val="decimal"/>
      <w:lvlText w:val="%1.%2.%3.%4.%5."/>
      <w:lvlJc w:val="left"/>
      <w:pPr>
        <w:ind w:left="2232" w:hanging="792"/>
      </w:pPr>
      <w:rPr>
        <w:rFonts w:hint="default"/>
        <w:b/>
        <w:bCs/>
        <w:i w:val="0"/>
        <w:strike w:val="0"/>
        <w:dstrike w:val="0"/>
        <w:color w:val="000000"/>
        <w:sz w:val="24"/>
        <w:szCs w:val="24"/>
        <w:u w:val="none" w:color="000000"/>
        <w:bdr w:val="none" w:sz="0" w:space="0" w:color="auto"/>
        <w:shd w:val="clear" w:color="auto" w:fill="auto"/>
        <w:vertAlign w:val="baseline"/>
      </w:rPr>
    </w:lvl>
    <w:lvl w:ilvl="5">
      <w:start w:val="1"/>
      <w:numFmt w:val="decimal"/>
      <w:lvlText w:val="%1.%2.%3.%4.%5.%6."/>
      <w:lvlJc w:val="left"/>
      <w:pPr>
        <w:ind w:left="2736" w:hanging="936"/>
      </w:pPr>
      <w:rPr>
        <w:rFonts w:hint="default"/>
        <w:b/>
        <w:bCs/>
        <w:i w:val="0"/>
        <w:strike w:val="0"/>
        <w:dstrike w:val="0"/>
        <w:color w:val="000000"/>
        <w:sz w:val="24"/>
        <w:szCs w:val="24"/>
        <w:u w:val="none" w:color="000000"/>
        <w:bdr w:val="none" w:sz="0" w:space="0" w:color="auto"/>
        <w:shd w:val="clear" w:color="auto" w:fill="auto"/>
        <w:vertAlign w:val="baseline"/>
      </w:rPr>
    </w:lvl>
    <w:lvl w:ilvl="6">
      <w:start w:val="1"/>
      <w:numFmt w:val="decimal"/>
      <w:lvlText w:val="%1.%2.%3.%4.%5.%6.%7."/>
      <w:lvlJc w:val="left"/>
      <w:pPr>
        <w:ind w:left="3240" w:hanging="1080"/>
      </w:pPr>
      <w:rPr>
        <w:rFonts w:hint="default"/>
        <w:b/>
        <w:bCs/>
        <w:i w:val="0"/>
        <w:strike w:val="0"/>
        <w:dstrike w:val="0"/>
        <w:color w:val="000000"/>
        <w:sz w:val="24"/>
        <w:szCs w:val="24"/>
        <w:u w:val="none" w:color="000000"/>
        <w:bdr w:val="none" w:sz="0" w:space="0" w:color="auto"/>
        <w:shd w:val="clear" w:color="auto" w:fill="auto"/>
        <w:vertAlign w:val="baseline"/>
      </w:rPr>
    </w:lvl>
    <w:lvl w:ilvl="7">
      <w:start w:val="1"/>
      <w:numFmt w:val="decimal"/>
      <w:lvlText w:val="%1.%2.%3.%4.%5.%6.%7.%8."/>
      <w:lvlJc w:val="left"/>
      <w:pPr>
        <w:ind w:left="3744" w:hanging="1224"/>
      </w:pPr>
      <w:rPr>
        <w:rFonts w:hint="default"/>
        <w:b/>
        <w:bCs/>
        <w:i w:val="0"/>
        <w:strike w:val="0"/>
        <w:dstrike w:val="0"/>
        <w:color w:val="000000"/>
        <w:sz w:val="24"/>
        <w:szCs w:val="24"/>
        <w:u w:val="none" w:color="000000"/>
        <w:bdr w:val="none" w:sz="0" w:space="0" w:color="auto"/>
        <w:shd w:val="clear" w:color="auto" w:fill="auto"/>
        <w:vertAlign w:val="baseline"/>
      </w:rPr>
    </w:lvl>
    <w:lvl w:ilvl="8">
      <w:start w:val="1"/>
      <w:numFmt w:val="decimal"/>
      <w:lvlText w:val="%1.%2.%3.%4.%5.%6.%7.%8.%9."/>
      <w:lvlJc w:val="left"/>
      <w:pPr>
        <w:ind w:left="4320" w:hanging="1440"/>
      </w:pPr>
      <w:rPr>
        <w:rFonts w:hint="default"/>
        <w:b/>
        <w:bCs/>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3F1F72AE"/>
    <w:multiLevelType w:val="hybridMultilevel"/>
    <w:tmpl w:val="864451C8"/>
    <w:lvl w:ilvl="0" w:tplc="CBA62D04">
      <w:start w:val="1"/>
      <w:numFmt w:val="decimal"/>
      <w:lvlText w:val="%1."/>
      <w:lvlJc w:val="left"/>
      <w:pPr>
        <w:ind w:left="720" w:hanging="360"/>
      </w:pPr>
    </w:lvl>
    <w:lvl w:ilvl="1" w:tplc="6ECE2F12">
      <w:start w:val="1"/>
      <w:numFmt w:val="lowerLetter"/>
      <w:lvlText w:val="%2."/>
      <w:lvlJc w:val="left"/>
      <w:pPr>
        <w:ind w:left="1440" w:hanging="360"/>
      </w:pPr>
    </w:lvl>
    <w:lvl w:ilvl="2" w:tplc="4A481178">
      <w:start w:val="1"/>
      <w:numFmt w:val="lowerRoman"/>
      <w:lvlText w:val="%3."/>
      <w:lvlJc w:val="right"/>
      <w:pPr>
        <w:ind w:left="2160" w:hanging="180"/>
      </w:pPr>
    </w:lvl>
    <w:lvl w:ilvl="3" w:tplc="9C980B92">
      <w:start w:val="1"/>
      <w:numFmt w:val="decimal"/>
      <w:lvlText w:val="%4."/>
      <w:lvlJc w:val="left"/>
      <w:pPr>
        <w:ind w:left="2880" w:hanging="360"/>
      </w:pPr>
    </w:lvl>
    <w:lvl w:ilvl="4" w:tplc="26C4B95A">
      <w:start w:val="1"/>
      <w:numFmt w:val="lowerLetter"/>
      <w:lvlText w:val="%5."/>
      <w:lvlJc w:val="left"/>
      <w:pPr>
        <w:ind w:left="3600" w:hanging="360"/>
      </w:pPr>
    </w:lvl>
    <w:lvl w:ilvl="5" w:tplc="51FA5C0A">
      <w:start w:val="1"/>
      <w:numFmt w:val="lowerRoman"/>
      <w:lvlText w:val="%6."/>
      <w:lvlJc w:val="right"/>
      <w:pPr>
        <w:ind w:left="4320" w:hanging="180"/>
      </w:pPr>
    </w:lvl>
    <w:lvl w:ilvl="6" w:tplc="47F29D9C">
      <w:start w:val="1"/>
      <w:numFmt w:val="decimal"/>
      <w:lvlText w:val="%7."/>
      <w:lvlJc w:val="left"/>
      <w:pPr>
        <w:ind w:left="5040" w:hanging="360"/>
      </w:pPr>
    </w:lvl>
    <w:lvl w:ilvl="7" w:tplc="E4F2C29C">
      <w:start w:val="1"/>
      <w:numFmt w:val="lowerLetter"/>
      <w:lvlText w:val="%8."/>
      <w:lvlJc w:val="left"/>
      <w:pPr>
        <w:ind w:left="5760" w:hanging="360"/>
      </w:pPr>
    </w:lvl>
    <w:lvl w:ilvl="8" w:tplc="5600D7F4">
      <w:start w:val="1"/>
      <w:numFmt w:val="lowerRoman"/>
      <w:lvlText w:val="%9."/>
      <w:lvlJc w:val="right"/>
      <w:pPr>
        <w:ind w:left="6480" w:hanging="180"/>
      </w:pPr>
    </w:lvl>
  </w:abstractNum>
  <w:abstractNum w:abstractNumId="9" w15:restartNumberingAfterBreak="0">
    <w:nsid w:val="40D78AB6"/>
    <w:multiLevelType w:val="multilevel"/>
    <w:tmpl w:val="5096DAAA"/>
    <w:lvl w:ilvl="0">
      <w:start w:val="3"/>
      <w:numFmt w:val="decimal"/>
      <w:lvlText w:val="%1"/>
      <w:lvlJc w:val="left"/>
      <w:pPr>
        <w:ind w:left="432" w:hanging="432"/>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467845BC"/>
    <w:multiLevelType w:val="hybridMultilevel"/>
    <w:tmpl w:val="777C30CE"/>
    <w:lvl w:ilvl="0" w:tplc="B3BE32D2">
      <w:start w:val="5"/>
      <w:numFmt w:val="decimal"/>
      <w:lvlText w:val="%1."/>
      <w:lvlJc w:val="left"/>
      <w:pPr>
        <w:ind w:left="720" w:hanging="360"/>
      </w:pPr>
    </w:lvl>
    <w:lvl w:ilvl="1" w:tplc="24B492E2">
      <w:start w:val="1"/>
      <w:numFmt w:val="lowerLetter"/>
      <w:lvlText w:val="%2."/>
      <w:lvlJc w:val="left"/>
      <w:pPr>
        <w:ind w:left="1440" w:hanging="360"/>
      </w:pPr>
    </w:lvl>
    <w:lvl w:ilvl="2" w:tplc="52584CE0">
      <w:start w:val="1"/>
      <w:numFmt w:val="lowerRoman"/>
      <w:lvlText w:val="%3."/>
      <w:lvlJc w:val="right"/>
      <w:pPr>
        <w:ind w:left="2160" w:hanging="180"/>
      </w:pPr>
    </w:lvl>
    <w:lvl w:ilvl="3" w:tplc="A0A08930">
      <w:start w:val="1"/>
      <w:numFmt w:val="decimal"/>
      <w:lvlText w:val="%4."/>
      <w:lvlJc w:val="left"/>
      <w:pPr>
        <w:ind w:left="2880" w:hanging="360"/>
      </w:pPr>
    </w:lvl>
    <w:lvl w:ilvl="4" w:tplc="6D107C38">
      <w:start w:val="1"/>
      <w:numFmt w:val="lowerLetter"/>
      <w:lvlText w:val="%5."/>
      <w:lvlJc w:val="left"/>
      <w:pPr>
        <w:ind w:left="3600" w:hanging="360"/>
      </w:pPr>
    </w:lvl>
    <w:lvl w:ilvl="5" w:tplc="D76CD4DA">
      <w:start w:val="1"/>
      <w:numFmt w:val="lowerRoman"/>
      <w:lvlText w:val="%6."/>
      <w:lvlJc w:val="right"/>
      <w:pPr>
        <w:ind w:left="4320" w:hanging="180"/>
      </w:pPr>
    </w:lvl>
    <w:lvl w:ilvl="6" w:tplc="71100144">
      <w:start w:val="1"/>
      <w:numFmt w:val="decimal"/>
      <w:lvlText w:val="%7."/>
      <w:lvlJc w:val="left"/>
      <w:pPr>
        <w:ind w:left="5040" w:hanging="360"/>
      </w:pPr>
    </w:lvl>
    <w:lvl w:ilvl="7" w:tplc="EF7602BE">
      <w:start w:val="1"/>
      <w:numFmt w:val="lowerLetter"/>
      <w:lvlText w:val="%8."/>
      <w:lvlJc w:val="left"/>
      <w:pPr>
        <w:ind w:left="5760" w:hanging="360"/>
      </w:pPr>
    </w:lvl>
    <w:lvl w:ilvl="8" w:tplc="A7F27AD2">
      <w:start w:val="1"/>
      <w:numFmt w:val="lowerRoman"/>
      <w:lvlText w:val="%9."/>
      <w:lvlJc w:val="right"/>
      <w:pPr>
        <w:ind w:left="6480" w:hanging="180"/>
      </w:pPr>
    </w:lvl>
  </w:abstractNum>
  <w:abstractNum w:abstractNumId="11" w15:restartNumberingAfterBreak="0">
    <w:nsid w:val="50CE62FC"/>
    <w:multiLevelType w:val="multilevel"/>
    <w:tmpl w:val="5568F92A"/>
    <w:lvl w:ilvl="0">
      <w:start w:val="4"/>
      <w:numFmt w:val="decimal"/>
      <w:lvlText w:val="%1"/>
      <w:lvlJc w:val="left"/>
      <w:pPr>
        <w:ind w:left="432" w:hanging="432"/>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5228499F"/>
    <w:multiLevelType w:val="hybridMultilevel"/>
    <w:tmpl w:val="6D861570"/>
    <w:lvl w:ilvl="0" w:tplc="B2088816">
      <w:start w:val="1"/>
      <w:numFmt w:val="bullet"/>
      <w:lvlText w:val="§"/>
      <w:lvlJc w:val="left"/>
      <w:pPr>
        <w:ind w:left="720" w:hanging="360"/>
      </w:pPr>
      <w:rPr>
        <w:rFonts w:ascii="Wingdings" w:hAnsi="Wingdings" w:hint="default"/>
      </w:rPr>
    </w:lvl>
    <w:lvl w:ilvl="1" w:tplc="42B444A0">
      <w:start w:val="1"/>
      <w:numFmt w:val="bullet"/>
      <w:lvlText w:val="o"/>
      <w:lvlJc w:val="left"/>
      <w:pPr>
        <w:ind w:left="1440" w:hanging="360"/>
      </w:pPr>
      <w:rPr>
        <w:rFonts w:ascii="Courier New" w:hAnsi="Courier New" w:hint="default"/>
      </w:rPr>
    </w:lvl>
    <w:lvl w:ilvl="2" w:tplc="28640322">
      <w:start w:val="1"/>
      <w:numFmt w:val="bullet"/>
      <w:lvlText w:val=""/>
      <w:lvlJc w:val="left"/>
      <w:pPr>
        <w:ind w:left="2160" w:hanging="360"/>
      </w:pPr>
      <w:rPr>
        <w:rFonts w:ascii="Wingdings" w:hAnsi="Wingdings" w:hint="default"/>
      </w:rPr>
    </w:lvl>
    <w:lvl w:ilvl="3" w:tplc="8F201FEA">
      <w:start w:val="1"/>
      <w:numFmt w:val="bullet"/>
      <w:lvlText w:val=""/>
      <w:lvlJc w:val="left"/>
      <w:pPr>
        <w:ind w:left="2880" w:hanging="360"/>
      </w:pPr>
      <w:rPr>
        <w:rFonts w:ascii="Symbol" w:hAnsi="Symbol" w:hint="default"/>
      </w:rPr>
    </w:lvl>
    <w:lvl w:ilvl="4" w:tplc="C8089462">
      <w:start w:val="1"/>
      <w:numFmt w:val="bullet"/>
      <w:lvlText w:val="o"/>
      <w:lvlJc w:val="left"/>
      <w:pPr>
        <w:ind w:left="3600" w:hanging="360"/>
      </w:pPr>
      <w:rPr>
        <w:rFonts w:ascii="Courier New" w:hAnsi="Courier New" w:hint="default"/>
      </w:rPr>
    </w:lvl>
    <w:lvl w:ilvl="5" w:tplc="DCFE7ED8">
      <w:start w:val="1"/>
      <w:numFmt w:val="bullet"/>
      <w:lvlText w:val=""/>
      <w:lvlJc w:val="left"/>
      <w:pPr>
        <w:ind w:left="4320" w:hanging="360"/>
      </w:pPr>
      <w:rPr>
        <w:rFonts w:ascii="Wingdings" w:hAnsi="Wingdings" w:hint="default"/>
      </w:rPr>
    </w:lvl>
    <w:lvl w:ilvl="6" w:tplc="92D44C84">
      <w:start w:val="1"/>
      <w:numFmt w:val="bullet"/>
      <w:lvlText w:val=""/>
      <w:lvlJc w:val="left"/>
      <w:pPr>
        <w:ind w:left="5040" w:hanging="360"/>
      </w:pPr>
      <w:rPr>
        <w:rFonts w:ascii="Symbol" w:hAnsi="Symbol" w:hint="default"/>
      </w:rPr>
    </w:lvl>
    <w:lvl w:ilvl="7" w:tplc="C930AA64">
      <w:start w:val="1"/>
      <w:numFmt w:val="bullet"/>
      <w:lvlText w:val="o"/>
      <w:lvlJc w:val="left"/>
      <w:pPr>
        <w:ind w:left="5760" w:hanging="360"/>
      </w:pPr>
      <w:rPr>
        <w:rFonts w:ascii="Courier New" w:hAnsi="Courier New" w:hint="default"/>
      </w:rPr>
    </w:lvl>
    <w:lvl w:ilvl="8" w:tplc="6AB2BADE">
      <w:start w:val="1"/>
      <w:numFmt w:val="bullet"/>
      <w:lvlText w:val=""/>
      <w:lvlJc w:val="left"/>
      <w:pPr>
        <w:ind w:left="6480" w:hanging="360"/>
      </w:pPr>
      <w:rPr>
        <w:rFonts w:ascii="Wingdings" w:hAnsi="Wingdings" w:hint="default"/>
      </w:rPr>
    </w:lvl>
  </w:abstractNum>
  <w:abstractNum w:abstractNumId="13" w15:restartNumberingAfterBreak="0">
    <w:nsid w:val="59C1986F"/>
    <w:multiLevelType w:val="hybridMultilevel"/>
    <w:tmpl w:val="3EC0C258"/>
    <w:lvl w:ilvl="0" w:tplc="5A7844FA">
      <w:start w:val="5"/>
      <w:numFmt w:val="decimal"/>
      <w:lvlText w:val="%1."/>
      <w:lvlJc w:val="left"/>
      <w:pPr>
        <w:ind w:left="720" w:hanging="360"/>
      </w:pPr>
    </w:lvl>
    <w:lvl w:ilvl="1" w:tplc="7E2269C2">
      <w:start w:val="1"/>
      <w:numFmt w:val="lowerLetter"/>
      <w:lvlText w:val="%2."/>
      <w:lvlJc w:val="left"/>
      <w:pPr>
        <w:ind w:left="1440" w:hanging="360"/>
      </w:pPr>
    </w:lvl>
    <w:lvl w:ilvl="2" w:tplc="BFD62716">
      <w:start w:val="1"/>
      <w:numFmt w:val="lowerRoman"/>
      <w:lvlText w:val="%3."/>
      <w:lvlJc w:val="right"/>
      <w:pPr>
        <w:ind w:left="2160" w:hanging="180"/>
      </w:pPr>
    </w:lvl>
    <w:lvl w:ilvl="3" w:tplc="CEB6A6D6">
      <w:start w:val="1"/>
      <w:numFmt w:val="decimal"/>
      <w:lvlText w:val="%4."/>
      <w:lvlJc w:val="left"/>
      <w:pPr>
        <w:ind w:left="2880" w:hanging="360"/>
      </w:pPr>
    </w:lvl>
    <w:lvl w:ilvl="4" w:tplc="EC401C2A">
      <w:start w:val="1"/>
      <w:numFmt w:val="lowerLetter"/>
      <w:lvlText w:val="%5."/>
      <w:lvlJc w:val="left"/>
      <w:pPr>
        <w:ind w:left="3600" w:hanging="360"/>
      </w:pPr>
    </w:lvl>
    <w:lvl w:ilvl="5" w:tplc="F4783DFC">
      <w:start w:val="1"/>
      <w:numFmt w:val="lowerRoman"/>
      <w:lvlText w:val="%6."/>
      <w:lvlJc w:val="right"/>
      <w:pPr>
        <w:ind w:left="4320" w:hanging="180"/>
      </w:pPr>
    </w:lvl>
    <w:lvl w:ilvl="6" w:tplc="6FEE7B82">
      <w:start w:val="1"/>
      <w:numFmt w:val="decimal"/>
      <w:lvlText w:val="%7."/>
      <w:lvlJc w:val="left"/>
      <w:pPr>
        <w:ind w:left="5040" w:hanging="360"/>
      </w:pPr>
    </w:lvl>
    <w:lvl w:ilvl="7" w:tplc="A91AECB2">
      <w:start w:val="1"/>
      <w:numFmt w:val="lowerLetter"/>
      <w:lvlText w:val="%8."/>
      <w:lvlJc w:val="left"/>
      <w:pPr>
        <w:ind w:left="5760" w:hanging="360"/>
      </w:pPr>
    </w:lvl>
    <w:lvl w:ilvl="8" w:tplc="27984B5A">
      <w:start w:val="1"/>
      <w:numFmt w:val="lowerRoman"/>
      <w:lvlText w:val="%9."/>
      <w:lvlJc w:val="right"/>
      <w:pPr>
        <w:ind w:left="6480" w:hanging="180"/>
      </w:pPr>
    </w:lvl>
  </w:abstractNum>
  <w:abstractNum w:abstractNumId="14" w15:restartNumberingAfterBreak="0">
    <w:nsid w:val="6213A2BC"/>
    <w:multiLevelType w:val="hybridMultilevel"/>
    <w:tmpl w:val="C7D6FF68"/>
    <w:lvl w:ilvl="0" w:tplc="C1AEAEC0">
      <w:start w:val="1"/>
      <w:numFmt w:val="decimal"/>
      <w:lvlText w:val="%1."/>
      <w:lvlJc w:val="left"/>
      <w:pPr>
        <w:ind w:left="720" w:hanging="360"/>
      </w:pPr>
    </w:lvl>
    <w:lvl w:ilvl="1" w:tplc="AF4A5BAE">
      <w:start w:val="1"/>
      <w:numFmt w:val="lowerLetter"/>
      <w:lvlText w:val="%2."/>
      <w:lvlJc w:val="left"/>
      <w:pPr>
        <w:ind w:left="1440" w:hanging="360"/>
      </w:pPr>
    </w:lvl>
    <w:lvl w:ilvl="2" w:tplc="AE9298FA">
      <w:start w:val="1"/>
      <w:numFmt w:val="lowerRoman"/>
      <w:lvlText w:val="%3."/>
      <w:lvlJc w:val="right"/>
      <w:pPr>
        <w:ind w:left="2160" w:hanging="180"/>
      </w:pPr>
    </w:lvl>
    <w:lvl w:ilvl="3" w:tplc="23A4B78E">
      <w:start w:val="1"/>
      <w:numFmt w:val="decimal"/>
      <w:lvlText w:val="%4."/>
      <w:lvlJc w:val="left"/>
      <w:pPr>
        <w:ind w:left="2880" w:hanging="360"/>
      </w:pPr>
    </w:lvl>
    <w:lvl w:ilvl="4" w:tplc="68EA6AF2">
      <w:start w:val="1"/>
      <w:numFmt w:val="lowerLetter"/>
      <w:lvlText w:val="%5."/>
      <w:lvlJc w:val="left"/>
      <w:pPr>
        <w:ind w:left="3600" w:hanging="360"/>
      </w:pPr>
    </w:lvl>
    <w:lvl w:ilvl="5" w:tplc="357E7ED6">
      <w:start w:val="1"/>
      <w:numFmt w:val="lowerRoman"/>
      <w:lvlText w:val="%6."/>
      <w:lvlJc w:val="right"/>
      <w:pPr>
        <w:ind w:left="4320" w:hanging="180"/>
      </w:pPr>
    </w:lvl>
    <w:lvl w:ilvl="6" w:tplc="7FDCBF3C">
      <w:start w:val="1"/>
      <w:numFmt w:val="decimal"/>
      <w:lvlText w:val="%7."/>
      <w:lvlJc w:val="left"/>
      <w:pPr>
        <w:ind w:left="5040" w:hanging="360"/>
      </w:pPr>
    </w:lvl>
    <w:lvl w:ilvl="7" w:tplc="1054EA80">
      <w:start w:val="1"/>
      <w:numFmt w:val="lowerLetter"/>
      <w:lvlText w:val="%8."/>
      <w:lvlJc w:val="left"/>
      <w:pPr>
        <w:ind w:left="5760" w:hanging="360"/>
      </w:pPr>
    </w:lvl>
    <w:lvl w:ilvl="8" w:tplc="BA4434E8">
      <w:start w:val="1"/>
      <w:numFmt w:val="lowerRoman"/>
      <w:lvlText w:val="%9."/>
      <w:lvlJc w:val="right"/>
      <w:pPr>
        <w:ind w:left="6480" w:hanging="180"/>
      </w:pPr>
    </w:lvl>
  </w:abstractNum>
  <w:abstractNum w:abstractNumId="15" w15:restartNumberingAfterBreak="0">
    <w:nsid w:val="6FF6FBF1"/>
    <w:multiLevelType w:val="hybridMultilevel"/>
    <w:tmpl w:val="0DC0F3BA"/>
    <w:lvl w:ilvl="0" w:tplc="C344C3A2">
      <w:start w:val="3"/>
      <w:numFmt w:val="decimal"/>
      <w:lvlText w:val="%1."/>
      <w:lvlJc w:val="left"/>
      <w:pPr>
        <w:ind w:left="720" w:hanging="360"/>
      </w:pPr>
    </w:lvl>
    <w:lvl w:ilvl="1" w:tplc="D6E23B20">
      <w:start w:val="1"/>
      <w:numFmt w:val="lowerLetter"/>
      <w:lvlText w:val="%2."/>
      <w:lvlJc w:val="left"/>
      <w:pPr>
        <w:ind w:left="1440" w:hanging="360"/>
      </w:pPr>
    </w:lvl>
    <w:lvl w:ilvl="2" w:tplc="B7749234">
      <w:start w:val="1"/>
      <w:numFmt w:val="lowerRoman"/>
      <w:lvlText w:val="%3."/>
      <w:lvlJc w:val="right"/>
      <w:pPr>
        <w:ind w:left="2160" w:hanging="180"/>
      </w:pPr>
    </w:lvl>
    <w:lvl w:ilvl="3" w:tplc="36D01AAE">
      <w:start w:val="1"/>
      <w:numFmt w:val="decimal"/>
      <w:lvlText w:val="%4."/>
      <w:lvlJc w:val="left"/>
      <w:pPr>
        <w:ind w:left="2880" w:hanging="360"/>
      </w:pPr>
    </w:lvl>
    <w:lvl w:ilvl="4" w:tplc="002843C6">
      <w:start w:val="1"/>
      <w:numFmt w:val="lowerLetter"/>
      <w:lvlText w:val="%5."/>
      <w:lvlJc w:val="left"/>
      <w:pPr>
        <w:ind w:left="3600" w:hanging="360"/>
      </w:pPr>
    </w:lvl>
    <w:lvl w:ilvl="5" w:tplc="63566172">
      <w:start w:val="1"/>
      <w:numFmt w:val="lowerRoman"/>
      <w:lvlText w:val="%6."/>
      <w:lvlJc w:val="right"/>
      <w:pPr>
        <w:ind w:left="4320" w:hanging="180"/>
      </w:pPr>
    </w:lvl>
    <w:lvl w:ilvl="6" w:tplc="DB22560A">
      <w:start w:val="1"/>
      <w:numFmt w:val="decimal"/>
      <w:lvlText w:val="%7."/>
      <w:lvlJc w:val="left"/>
      <w:pPr>
        <w:ind w:left="5040" w:hanging="360"/>
      </w:pPr>
    </w:lvl>
    <w:lvl w:ilvl="7" w:tplc="406E0732">
      <w:start w:val="1"/>
      <w:numFmt w:val="lowerLetter"/>
      <w:lvlText w:val="%8."/>
      <w:lvlJc w:val="left"/>
      <w:pPr>
        <w:ind w:left="5760" w:hanging="360"/>
      </w:pPr>
    </w:lvl>
    <w:lvl w:ilvl="8" w:tplc="42726048">
      <w:start w:val="1"/>
      <w:numFmt w:val="lowerRoman"/>
      <w:lvlText w:val="%9."/>
      <w:lvlJc w:val="right"/>
      <w:pPr>
        <w:ind w:left="6480" w:hanging="180"/>
      </w:pPr>
    </w:lvl>
  </w:abstractNum>
  <w:abstractNum w:abstractNumId="16" w15:restartNumberingAfterBreak="0">
    <w:nsid w:val="7400B0BF"/>
    <w:multiLevelType w:val="multilevel"/>
    <w:tmpl w:val="2F18F362"/>
    <w:lvl w:ilvl="0">
      <w:start w:val="2"/>
      <w:numFmt w:val="decimal"/>
      <w:lvlText w:val="%1"/>
      <w:lvlJc w:val="left"/>
      <w:pPr>
        <w:ind w:left="432" w:hanging="432"/>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798B4113"/>
    <w:multiLevelType w:val="multilevel"/>
    <w:tmpl w:val="AE2E9596"/>
    <w:lvl w:ilvl="0">
      <w:start w:val="1"/>
      <w:numFmt w:val="decimal"/>
      <w:lvlText w:val="%1"/>
      <w:lvlJc w:val="left"/>
      <w:pPr>
        <w:ind w:left="432" w:hanging="432"/>
      </w:pPr>
    </w:lvl>
    <w:lvl w:ilvl="1">
      <w:start w:val="1"/>
      <w:numFmt w:val="decimal"/>
      <w:lvlText w:val="%1.%2"/>
      <w:lvlJc w:val="left"/>
      <w:pPr>
        <w:ind w:left="576" w:hanging="576"/>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79DC5F2D"/>
    <w:multiLevelType w:val="multilevel"/>
    <w:tmpl w:val="C3C86B5E"/>
    <w:lvl w:ilvl="0">
      <w:start w:val="5"/>
      <w:numFmt w:val="decimal"/>
      <w:lvlText w:val="%1"/>
      <w:lvlJc w:val="left"/>
      <w:pPr>
        <w:ind w:left="432" w:hanging="432"/>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8"/>
  </w:num>
  <w:num w:numId="2">
    <w:abstractNumId w:val="11"/>
  </w:num>
  <w:num w:numId="3">
    <w:abstractNumId w:val="9"/>
  </w:num>
  <w:num w:numId="4">
    <w:abstractNumId w:val="16"/>
  </w:num>
  <w:num w:numId="5">
    <w:abstractNumId w:val="17"/>
  </w:num>
  <w:num w:numId="6">
    <w:abstractNumId w:val="13"/>
  </w:num>
  <w:num w:numId="7">
    <w:abstractNumId w:val="5"/>
  </w:num>
  <w:num w:numId="8">
    <w:abstractNumId w:val="15"/>
  </w:num>
  <w:num w:numId="9">
    <w:abstractNumId w:val="1"/>
  </w:num>
  <w:num w:numId="10">
    <w:abstractNumId w:val="6"/>
  </w:num>
  <w:num w:numId="11">
    <w:abstractNumId w:val="10"/>
  </w:num>
  <w:num w:numId="12">
    <w:abstractNumId w:val="2"/>
  </w:num>
  <w:num w:numId="13">
    <w:abstractNumId w:val="4"/>
  </w:num>
  <w:num w:numId="14">
    <w:abstractNumId w:val="0"/>
  </w:num>
  <w:num w:numId="15">
    <w:abstractNumId w:val="14"/>
  </w:num>
  <w:num w:numId="16">
    <w:abstractNumId w:val="8"/>
  </w:num>
  <w:num w:numId="17">
    <w:abstractNumId w:val="12"/>
  </w:num>
  <w:num w:numId="18">
    <w:abstractNumId w:val="3"/>
  </w:num>
  <w:num w:numId="1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4AF0"/>
    <w:rsid w:val="00003380"/>
    <w:rsid w:val="001E39D4"/>
    <w:rsid w:val="00202A24"/>
    <w:rsid w:val="0029961C"/>
    <w:rsid w:val="002BFF19"/>
    <w:rsid w:val="003158F1"/>
    <w:rsid w:val="0036386B"/>
    <w:rsid w:val="00457A3E"/>
    <w:rsid w:val="00473B5F"/>
    <w:rsid w:val="00533155"/>
    <w:rsid w:val="00626C18"/>
    <w:rsid w:val="006B0F36"/>
    <w:rsid w:val="006C2C1F"/>
    <w:rsid w:val="006E7EB8"/>
    <w:rsid w:val="00951737"/>
    <w:rsid w:val="00953A50"/>
    <w:rsid w:val="009B49A6"/>
    <w:rsid w:val="009E3AD2"/>
    <w:rsid w:val="00A107B1"/>
    <w:rsid w:val="00AD344F"/>
    <w:rsid w:val="00C04AF0"/>
    <w:rsid w:val="00C1115D"/>
    <w:rsid w:val="00C90369"/>
    <w:rsid w:val="00E75D3C"/>
    <w:rsid w:val="0123A28B"/>
    <w:rsid w:val="019A521C"/>
    <w:rsid w:val="01C0AA5F"/>
    <w:rsid w:val="0212B43D"/>
    <w:rsid w:val="022FD750"/>
    <w:rsid w:val="02600B2A"/>
    <w:rsid w:val="02603D43"/>
    <w:rsid w:val="0264DF0D"/>
    <w:rsid w:val="027932CF"/>
    <w:rsid w:val="0284A546"/>
    <w:rsid w:val="03276162"/>
    <w:rsid w:val="039D52F6"/>
    <w:rsid w:val="03CBA7B1"/>
    <w:rsid w:val="03CC2CD8"/>
    <w:rsid w:val="04001907"/>
    <w:rsid w:val="040B4F07"/>
    <w:rsid w:val="0437015F"/>
    <w:rsid w:val="0439B1EA"/>
    <w:rsid w:val="0449900C"/>
    <w:rsid w:val="04ABEBF2"/>
    <w:rsid w:val="04AECFDB"/>
    <w:rsid w:val="04C18B31"/>
    <w:rsid w:val="04C445E9"/>
    <w:rsid w:val="0511D4D0"/>
    <w:rsid w:val="051E3007"/>
    <w:rsid w:val="052EEC6A"/>
    <w:rsid w:val="05889C94"/>
    <w:rsid w:val="05995C6C"/>
    <w:rsid w:val="05C18824"/>
    <w:rsid w:val="05D536E5"/>
    <w:rsid w:val="05E05631"/>
    <w:rsid w:val="05EE315C"/>
    <w:rsid w:val="0603C183"/>
    <w:rsid w:val="0642CBFD"/>
    <w:rsid w:val="0648FCD9"/>
    <w:rsid w:val="06B34C19"/>
    <w:rsid w:val="06C653C9"/>
    <w:rsid w:val="06DE53F2"/>
    <w:rsid w:val="07034873"/>
    <w:rsid w:val="0742EFC9"/>
    <w:rsid w:val="0746D412"/>
    <w:rsid w:val="07805BED"/>
    <w:rsid w:val="0799B9F5"/>
    <w:rsid w:val="079D1FFC"/>
    <w:rsid w:val="07B3C88E"/>
    <w:rsid w:val="07CD4840"/>
    <w:rsid w:val="07E6709D"/>
    <w:rsid w:val="07F5B689"/>
    <w:rsid w:val="07FC9EE6"/>
    <w:rsid w:val="0879E8AB"/>
    <w:rsid w:val="08A2A1C5"/>
    <w:rsid w:val="08ABD9ED"/>
    <w:rsid w:val="0938F05D"/>
    <w:rsid w:val="094F5D3E"/>
    <w:rsid w:val="09700BC7"/>
    <w:rsid w:val="0979E3D0"/>
    <w:rsid w:val="098240FE"/>
    <w:rsid w:val="09A62562"/>
    <w:rsid w:val="09BC3C6A"/>
    <w:rsid w:val="09C70060"/>
    <w:rsid w:val="09EE65EC"/>
    <w:rsid w:val="09FE5D7D"/>
    <w:rsid w:val="0A3481E3"/>
    <w:rsid w:val="0A6B1D0F"/>
    <w:rsid w:val="0A7015AD"/>
    <w:rsid w:val="0A78B418"/>
    <w:rsid w:val="0A7A908B"/>
    <w:rsid w:val="0A85A034"/>
    <w:rsid w:val="0A9E0F4E"/>
    <w:rsid w:val="0AB66794"/>
    <w:rsid w:val="0AD4C0BE"/>
    <w:rsid w:val="0B1DBAA6"/>
    <w:rsid w:val="0B3157A9"/>
    <w:rsid w:val="0B3BD6E0"/>
    <w:rsid w:val="0B5854AD"/>
    <w:rsid w:val="0BAF2883"/>
    <w:rsid w:val="0BB22CD3"/>
    <w:rsid w:val="0BC66AEB"/>
    <w:rsid w:val="0BE1A106"/>
    <w:rsid w:val="0C125AA1"/>
    <w:rsid w:val="0C360E8C"/>
    <w:rsid w:val="0C464A93"/>
    <w:rsid w:val="0C9430BB"/>
    <w:rsid w:val="0CB9E1C0"/>
    <w:rsid w:val="0CE342DB"/>
    <w:rsid w:val="0D1157A6"/>
    <w:rsid w:val="0D12A40D"/>
    <w:rsid w:val="0D7AFCA4"/>
    <w:rsid w:val="0D975F45"/>
    <w:rsid w:val="0DD54AF9"/>
    <w:rsid w:val="0DD9AA40"/>
    <w:rsid w:val="0DFCBDD4"/>
    <w:rsid w:val="0E3309A2"/>
    <w:rsid w:val="0E67F883"/>
    <w:rsid w:val="0EE1EBE4"/>
    <w:rsid w:val="0F02C92C"/>
    <w:rsid w:val="0F4775E9"/>
    <w:rsid w:val="0F5944E4"/>
    <w:rsid w:val="0F5FA35D"/>
    <w:rsid w:val="0F65C8DA"/>
    <w:rsid w:val="0F69BEE5"/>
    <w:rsid w:val="0F718071"/>
    <w:rsid w:val="0F984E79"/>
    <w:rsid w:val="0F988E35"/>
    <w:rsid w:val="0FA3771C"/>
    <w:rsid w:val="104F6A41"/>
    <w:rsid w:val="10507AD0"/>
    <w:rsid w:val="10647DAA"/>
    <w:rsid w:val="1076B32A"/>
    <w:rsid w:val="107AFB6A"/>
    <w:rsid w:val="1086A9A2"/>
    <w:rsid w:val="109315C7"/>
    <w:rsid w:val="113F477D"/>
    <w:rsid w:val="117187B6"/>
    <w:rsid w:val="11912BC8"/>
    <w:rsid w:val="11BCFD4A"/>
    <w:rsid w:val="12282189"/>
    <w:rsid w:val="12476F76"/>
    <w:rsid w:val="1249840B"/>
    <w:rsid w:val="125C2B08"/>
    <w:rsid w:val="12662E15"/>
    <w:rsid w:val="1285D581"/>
    <w:rsid w:val="12F20BD6"/>
    <w:rsid w:val="12FF586D"/>
    <w:rsid w:val="130F27B8"/>
    <w:rsid w:val="135E4E7E"/>
    <w:rsid w:val="13642D02"/>
    <w:rsid w:val="1364565E"/>
    <w:rsid w:val="137B6A72"/>
    <w:rsid w:val="13CD8D90"/>
    <w:rsid w:val="13D85E16"/>
    <w:rsid w:val="13DA83A4"/>
    <w:rsid w:val="148629DD"/>
    <w:rsid w:val="148D7AA6"/>
    <w:rsid w:val="14A57BAF"/>
    <w:rsid w:val="14AC9750"/>
    <w:rsid w:val="14CE0647"/>
    <w:rsid w:val="14EAA6AC"/>
    <w:rsid w:val="153F24FC"/>
    <w:rsid w:val="15482D1C"/>
    <w:rsid w:val="1548694B"/>
    <w:rsid w:val="15661DC3"/>
    <w:rsid w:val="15765405"/>
    <w:rsid w:val="15795558"/>
    <w:rsid w:val="1582FCAB"/>
    <w:rsid w:val="15AD7CB4"/>
    <w:rsid w:val="15EAE2C4"/>
    <w:rsid w:val="163C0F20"/>
    <w:rsid w:val="16583672"/>
    <w:rsid w:val="16C942ED"/>
    <w:rsid w:val="16CAEB5F"/>
    <w:rsid w:val="17467ED6"/>
    <w:rsid w:val="17640CD7"/>
    <w:rsid w:val="17703912"/>
    <w:rsid w:val="17801DFE"/>
    <w:rsid w:val="17899E88"/>
    <w:rsid w:val="17BDCA9F"/>
    <w:rsid w:val="17BE3AD9"/>
    <w:rsid w:val="17E5E6C6"/>
    <w:rsid w:val="18091F11"/>
    <w:rsid w:val="180999C9"/>
    <w:rsid w:val="1827EB99"/>
    <w:rsid w:val="183E215C"/>
    <w:rsid w:val="186CE4F2"/>
    <w:rsid w:val="188B5F98"/>
    <w:rsid w:val="18AE11BE"/>
    <w:rsid w:val="18D7D17A"/>
    <w:rsid w:val="18E352E0"/>
    <w:rsid w:val="194492BB"/>
    <w:rsid w:val="19598CEB"/>
    <w:rsid w:val="19920BC1"/>
    <w:rsid w:val="1A3D1910"/>
    <w:rsid w:val="1A43031A"/>
    <w:rsid w:val="1A4A10D2"/>
    <w:rsid w:val="1AA11D0B"/>
    <w:rsid w:val="1AF75205"/>
    <w:rsid w:val="1AF8644D"/>
    <w:rsid w:val="1B30F551"/>
    <w:rsid w:val="1B4858E3"/>
    <w:rsid w:val="1BDF910F"/>
    <w:rsid w:val="1C0ECFBF"/>
    <w:rsid w:val="1C1EBE99"/>
    <w:rsid w:val="1C29F75E"/>
    <w:rsid w:val="1CB2106F"/>
    <w:rsid w:val="1CE060D1"/>
    <w:rsid w:val="1CF48512"/>
    <w:rsid w:val="1D2FF339"/>
    <w:rsid w:val="1D4799FD"/>
    <w:rsid w:val="1D50DDF6"/>
    <w:rsid w:val="1D85EFA3"/>
    <w:rsid w:val="1D9EDE63"/>
    <w:rsid w:val="1DE11C27"/>
    <w:rsid w:val="1E2DB5B8"/>
    <w:rsid w:val="1E786095"/>
    <w:rsid w:val="1E9CA3AF"/>
    <w:rsid w:val="1EA6EA5E"/>
    <w:rsid w:val="1EC10131"/>
    <w:rsid w:val="1EE129F4"/>
    <w:rsid w:val="1EEA9299"/>
    <w:rsid w:val="1F2D4824"/>
    <w:rsid w:val="1F2FF499"/>
    <w:rsid w:val="1F630488"/>
    <w:rsid w:val="1F81021E"/>
    <w:rsid w:val="202F4C92"/>
    <w:rsid w:val="20383449"/>
    <w:rsid w:val="2056FCD6"/>
    <w:rsid w:val="207C357C"/>
    <w:rsid w:val="207D4056"/>
    <w:rsid w:val="20806B0F"/>
    <w:rsid w:val="210CF5A0"/>
    <w:rsid w:val="21682D93"/>
    <w:rsid w:val="218F485C"/>
    <w:rsid w:val="219CC340"/>
    <w:rsid w:val="21B00157"/>
    <w:rsid w:val="22251CF6"/>
    <w:rsid w:val="223F7FA7"/>
    <w:rsid w:val="22433FE0"/>
    <w:rsid w:val="2258603E"/>
    <w:rsid w:val="22691189"/>
    <w:rsid w:val="2293D07E"/>
    <w:rsid w:val="229B4623"/>
    <w:rsid w:val="22CAF963"/>
    <w:rsid w:val="22D82FA0"/>
    <w:rsid w:val="22DBF902"/>
    <w:rsid w:val="22DF0E22"/>
    <w:rsid w:val="22F3392D"/>
    <w:rsid w:val="2350EFF5"/>
    <w:rsid w:val="238E9D98"/>
    <w:rsid w:val="23DB5008"/>
    <w:rsid w:val="23FA2084"/>
    <w:rsid w:val="2418E702"/>
    <w:rsid w:val="24498C0B"/>
    <w:rsid w:val="2477C963"/>
    <w:rsid w:val="24A36573"/>
    <w:rsid w:val="24C5C4A7"/>
    <w:rsid w:val="24CB3315"/>
    <w:rsid w:val="24F182DE"/>
    <w:rsid w:val="24F87A89"/>
    <w:rsid w:val="25160301"/>
    <w:rsid w:val="2536B38F"/>
    <w:rsid w:val="258E8DE9"/>
    <w:rsid w:val="25A5D085"/>
    <w:rsid w:val="25CA148A"/>
    <w:rsid w:val="25DD584B"/>
    <w:rsid w:val="26475C57"/>
    <w:rsid w:val="2683727A"/>
    <w:rsid w:val="269431ED"/>
    <w:rsid w:val="26F68A40"/>
    <w:rsid w:val="26FDE828"/>
    <w:rsid w:val="2730B95E"/>
    <w:rsid w:val="2735FFE9"/>
    <w:rsid w:val="27518266"/>
    <w:rsid w:val="27565EEF"/>
    <w:rsid w:val="275C4E4D"/>
    <w:rsid w:val="2773BA79"/>
    <w:rsid w:val="2779BE0A"/>
    <w:rsid w:val="279641C8"/>
    <w:rsid w:val="27B39434"/>
    <w:rsid w:val="27DBDBEF"/>
    <w:rsid w:val="27E9B381"/>
    <w:rsid w:val="2802E2C6"/>
    <w:rsid w:val="2825C5C7"/>
    <w:rsid w:val="28370E88"/>
    <w:rsid w:val="2848C370"/>
    <w:rsid w:val="285FB1D6"/>
    <w:rsid w:val="2873B48E"/>
    <w:rsid w:val="288AD9C9"/>
    <w:rsid w:val="28CA5904"/>
    <w:rsid w:val="28E88813"/>
    <w:rsid w:val="28EB618D"/>
    <w:rsid w:val="2927E464"/>
    <w:rsid w:val="292A1AC3"/>
    <w:rsid w:val="293A10C9"/>
    <w:rsid w:val="294C7268"/>
    <w:rsid w:val="2963AE66"/>
    <w:rsid w:val="29ACD25E"/>
    <w:rsid w:val="29B51DD8"/>
    <w:rsid w:val="29BF7625"/>
    <w:rsid w:val="29C0C84F"/>
    <w:rsid w:val="29C4F401"/>
    <w:rsid w:val="29CBF4EF"/>
    <w:rsid w:val="29E23AD6"/>
    <w:rsid w:val="29F26D28"/>
    <w:rsid w:val="2A201B42"/>
    <w:rsid w:val="2A26AA2A"/>
    <w:rsid w:val="2A31692F"/>
    <w:rsid w:val="2A455145"/>
    <w:rsid w:val="2A545ECA"/>
    <w:rsid w:val="2A86313D"/>
    <w:rsid w:val="2AADA5FB"/>
    <w:rsid w:val="2AC5EB24"/>
    <w:rsid w:val="2AFF4777"/>
    <w:rsid w:val="2B000AC8"/>
    <w:rsid w:val="2B320104"/>
    <w:rsid w:val="2B4EBE4F"/>
    <w:rsid w:val="2B63F4FB"/>
    <w:rsid w:val="2B7AE6F0"/>
    <w:rsid w:val="2B859D37"/>
    <w:rsid w:val="2BAE8798"/>
    <w:rsid w:val="2BB9D4AB"/>
    <w:rsid w:val="2BD98127"/>
    <w:rsid w:val="2BE7DB40"/>
    <w:rsid w:val="2C26BB10"/>
    <w:rsid w:val="2C4801FB"/>
    <w:rsid w:val="2C503161"/>
    <w:rsid w:val="2CBFC22F"/>
    <w:rsid w:val="2CD4982A"/>
    <w:rsid w:val="2CF3DAF5"/>
    <w:rsid w:val="2D15D293"/>
    <w:rsid w:val="2D1E5696"/>
    <w:rsid w:val="2D3E3E1A"/>
    <w:rsid w:val="2D544DBC"/>
    <w:rsid w:val="2D6616D1"/>
    <w:rsid w:val="2D92116F"/>
    <w:rsid w:val="2DC3A078"/>
    <w:rsid w:val="2DE63B47"/>
    <w:rsid w:val="2DF97EB9"/>
    <w:rsid w:val="2E5A3B69"/>
    <w:rsid w:val="2E7E1417"/>
    <w:rsid w:val="2E8737A7"/>
    <w:rsid w:val="2E9E0AF5"/>
    <w:rsid w:val="2EFDDD5C"/>
    <w:rsid w:val="2F29E718"/>
    <w:rsid w:val="2F3E48EE"/>
    <w:rsid w:val="2F8BF32C"/>
    <w:rsid w:val="2FC9533D"/>
    <w:rsid w:val="300C5458"/>
    <w:rsid w:val="30272AE7"/>
    <w:rsid w:val="30489ACD"/>
    <w:rsid w:val="308053B5"/>
    <w:rsid w:val="30898B78"/>
    <w:rsid w:val="308C6428"/>
    <w:rsid w:val="30988D45"/>
    <w:rsid w:val="30ED7F35"/>
    <w:rsid w:val="31067F82"/>
    <w:rsid w:val="31138211"/>
    <w:rsid w:val="3115F181"/>
    <w:rsid w:val="311F96DE"/>
    <w:rsid w:val="31244091"/>
    <w:rsid w:val="31406C77"/>
    <w:rsid w:val="31451194"/>
    <w:rsid w:val="316FB25E"/>
    <w:rsid w:val="31A9C50C"/>
    <w:rsid w:val="31CFB5E0"/>
    <w:rsid w:val="31EC7E82"/>
    <w:rsid w:val="32080FB2"/>
    <w:rsid w:val="322BD178"/>
    <w:rsid w:val="32697A84"/>
    <w:rsid w:val="32791B76"/>
    <w:rsid w:val="32CCD336"/>
    <w:rsid w:val="32E0E1F5"/>
    <w:rsid w:val="333B2E8E"/>
    <w:rsid w:val="333FC115"/>
    <w:rsid w:val="3345956D"/>
    <w:rsid w:val="3389F742"/>
    <w:rsid w:val="33B7F0E3"/>
    <w:rsid w:val="33D16288"/>
    <w:rsid w:val="33F63CA7"/>
    <w:rsid w:val="342A36DC"/>
    <w:rsid w:val="3487D2EF"/>
    <w:rsid w:val="34B0FC51"/>
    <w:rsid w:val="3553C144"/>
    <w:rsid w:val="355734BC"/>
    <w:rsid w:val="35718861"/>
    <w:rsid w:val="3578E649"/>
    <w:rsid w:val="35DFF989"/>
    <w:rsid w:val="35F0F835"/>
    <w:rsid w:val="35F85438"/>
    <w:rsid w:val="35F901DB"/>
    <w:rsid w:val="361882B7"/>
    <w:rsid w:val="36497514"/>
    <w:rsid w:val="365B0A1B"/>
    <w:rsid w:val="3676584B"/>
    <w:rsid w:val="3697A3E2"/>
    <w:rsid w:val="36A37709"/>
    <w:rsid w:val="36EF91A5"/>
    <w:rsid w:val="36F1FEE1"/>
    <w:rsid w:val="36F691FD"/>
    <w:rsid w:val="3700726D"/>
    <w:rsid w:val="3718C8CA"/>
    <w:rsid w:val="373CEBA7"/>
    <w:rsid w:val="3763A521"/>
    <w:rsid w:val="3776F9F5"/>
    <w:rsid w:val="37B8AFB1"/>
    <w:rsid w:val="37C8D1C3"/>
    <w:rsid w:val="37CB5CC2"/>
    <w:rsid w:val="3812ABF6"/>
    <w:rsid w:val="381673BA"/>
    <w:rsid w:val="38364C44"/>
    <w:rsid w:val="38586F0F"/>
    <w:rsid w:val="3860EF80"/>
    <w:rsid w:val="38C72BB1"/>
    <w:rsid w:val="38DCCB49"/>
    <w:rsid w:val="3921E928"/>
    <w:rsid w:val="392898F7"/>
    <w:rsid w:val="396794C2"/>
    <w:rsid w:val="396BF578"/>
    <w:rsid w:val="3983DCD3"/>
    <w:rsid w:val="3A5DF57C"/>
    <w:rsid w:val="3A8E0C1B"/>
    <w:rsid w:val="3A8F51D7"/>
    <w:rsid w:val="3AEBF3DA"/>
    <w:rsid w:val="3AFD6C47"/>
    <w:rsid w:val="3B1F5317"/>
    <w:rsid w:val="3B4EAA72"/>
    <w:rsid w:val="3B59755D"/>
    <w:rsid w:val="3B6A98FD"/>
    <w:rsid w:val="3B9FD15F"/>
    <w:rsid w:val="3BBB3D35"/>
    <w:rsid w:val="3BBC3FAD"/>
    <w:rsid w:val="3BC302C8"/>
    <w:rsid w:val="3BC49CAD"/>
    <w:rsid w:val="3BD3C86D"/>
    <w:rsid w:val="3BE08BDB"/>
    <w:rsid w:val="3C2B41E8"/>
    <w:rsid w:val="3C4714F9"/>
    <w:rsid w:val="3C47A1FD"/>
    <w:rsid w:val="3C5182C2"/>
    <w:rsid w:val="3C659049"/>
    <w:rsid w:val="3CB38E4B"/>
    <w:rsid w:val="3CCE73D6"/>
    <w:rsid w:val="3CDE990A"/>
    <w:rsid w:val="3CFFCC30"/>
    <w:rsid w:val="3D37ECE8"/>
    <w:rsid w:val="3D4A43AE"/>
    <w:rsid w:val="3D7F5F2E"/>
    <w:rsid w:val="3D9845B0"/>
    <w:rsid w:val="3DEB0119"/>
    <w:rsid w:val="3E7DB976"/>
    <w:rsid w:val="3E90407A"/>
    <w:rsid w:val="3E91161F"/>
    <w:rsid w:val="3E920735"/>
    <w:rsid w:val="3EB9BD6A"/>
    <w:rsid w:val="3F04A296"/>
    <w:rsid w:val="3F128684"/>
    <w:rsid w:val="3F7EB21E"/>
    <w:rsid w:val="3F9A8E1D"/>
    <w:rsid w:val="3FABD102"/>
    <w:rsid w:val="3FAE8DE3"/>
    <w:rsid w:val="3FBF64FD"/>
    <w:rsid w:val="403594CB"/>
    <w:rsid w:val="40518F84"/>
    <w:rsid w:val="40B83778"/>
    <w:rsid w:val="40DB9FDD"/>
    <w:rsid w:val="4101B759"/>
    <w:rsid w:val="411B1320"/>
    <w:rsid w:val="4122662A"/>
    <w:rsid w:val="412DA521"/>
    <w:rsid w:val="417FC8DD"/>
    <w:rsid w:val="41961CD9"/>
    <w:rsid w:val="41AB55A1"/>
    <w:rsid w:val="41BAD833"/>
    <w:rsid w:val="41CAD7AF"/>
    <w:rsid w:val="41D365DA"/>
    <w:rsid w:val="41DC82C0"/>
    <w:rsid w:val="4223A710"/>
    <w:rsid w:val="42683661"/>
    <w:rsid w:val="426D9358"/>
    <w:rsid w:val="4282E741"/>
    <w:rsid w:val="428EDF84"/>
    <w:rsid w:val="42CB1AB4"/>
    <w:rsid w:val="42EA3AF3"/>
    <w:rsid w:val="438CC9B7"/>
    <w:rsid w:val="43B7ECF6"/>
    <w:rsid w:val="43D27563"/>
    <w:rsid w:val="43E2DB2C"/>
    <w:rsid w:val="443C1F18"/>
    <w:rsid w:val="4465BC25"/>
    <w:rsid w:val="446ABAA1"/>
    <w:rsid w:val="44B347FD"/>
    <w:rsid w:val="44F5193B"/>
    <w:rsid w:val="45027871"/>
    <w:rsid w:val="450E32C9"/>
    <w:rsid w:val="453D899C"/>
    <w:rsid w:val="454BBFAE"/>
    <w:rsid w:val="455F9F32"/>
    <w:rsid w:val="459E16B3"/>
    <w:rsid w:val="4629FCCF"/>
    <w:rsid w:val="4635284C"/>
    <w:rsid w:val="4686B36B"/>
    <w:rsid w:val="47793121"/>
    <w:rsid w:val="478A54A4"/>
    <w:rsid w:val="47B4909A"/>
    <w:rsid w:val="4830CAE7"/>
    <w:rsid w:val="484E4B19"/>
    <w:rsid w:val="4895957B"/>
    <w:rsid w:val="489DC2E0"/>
    <w:rsid w:val="48EA0EE2"/>
    <w:rsid w:val="4909C4F0"/>
    <w:rsid w:val="4970DE6B"/>
    <w:rsid w:val="498DE3BF"/>
    <w:rsid w:val="49C97A68"/>
    <w:rsid w:val="49CDFAAB"/>
    <w:rsid w:val="4A3B0940"/>
    <w:rsid w:val="4A505F17"/>
    <w:rsid w:val="4A795677"/>
    <w:rsid w:val="4A79755C"/>
    <w:rsid w:val="4A907F64"/>
    <w:rsid w:val="4B36484B"/>
    <w:rsid w:val="4B4A3D8E"/>
    <w:rsid w:val="4B55D2A0"/>
    <w:rsid w:val="4B5A03ED"/>
    <w:rsid w:val="4B7DDE17"/>
    <w:rsid w:val="4B87772E"/>
    <w:rsid w:val="4C088747"/>
    <w:rsid w:val="4C13C37C"/>
    <w:rsid w:val="4C26CBB9"/>
    <w:rsid w:val="4C3E3A67"/>
    <w:rsid w:val="4C4C522D"/>
    <w:rsid w:val="4C6D4C5D"/>
    <w:rsid w:val="4C6F9412"/>
    <w:rsid w:val="4C7E7016"/>
    <w:rsid w:val="4C957356"/>
    <w:rsid w:val="4CD2367D"/>
    <w:rsid w:val="4CDFF8F0"/>
    <w:rsid w:val="4D2E8106"/>
    <w:rsid w:val="4D44891A"/>
    <w:rsid w:val="4D54A5A7"/>
    <w:rsid w:val="4D5B697F"/>
    <w:rsid w:val="4D6443B7"/>
    <w:rsid w:val="4D822591"/>
    <w:rsid w:val="4DF17C0B"/>
    <w:rsid w:val="4E0EE60B"/>
    <w:rsid w:val="4E2F7245"/>
    <w:rsid w:val="4E43D6B9"/>
    <w:rsid w:val="4E43F473"/>
    <w:rsid w:val="4E5A2A43"/>
    <w:rsid w:val="4EC0B5CC"/>
    <w:rsid w:val="4EE0597B"/>
    <w:rsid w:val="4EEA85DB"/>
    <w:rsid w:val="4F6CBB91"/>
    <w:rsid w:val="4FA734D4"/>
    <w:rsid w:val="4FB46098"/>
    <w:rsid w:val="4FBD6849"/>
    <w:rsid w:val="4FC70DAA"/>
    <w:rsid w:val="4FE63BF3"/>
    <w:rsid w:val="504E9D73"/>
    <w:rsid w:val="50840E6E"/>
    <w:rsid w:val="50CBF55C"/>
    <w:rsid w:val="50EDA8C0"/>
    <w:rsid w:val="51081503"/>
    <w:rsid w:val="5129E178"/>
    <w:rsid w:val="513B17AF"/>
    <w:rsid w:val="5199ED80"/>
    <w:rsid w:val="51EEAA35"/>
    <w:rsid w:val="52289D9C"/>
    <w:rsid w:val="524D0635"/>
    <w:rsid w:val="52749ADF"/>
    <w:rsid w:val="52B894BC"/>
    <w:rsid w:val="52B97541"/>
    <w:rsid w:val="52C8A8AE"/>
    <w:rsid w:val="52D6E810"/>
    <w:rsid w:val="5330E813"/>
    <w:rsid w:val="5340EC1C"/>
    <w:rsid w:val="53771945"/>
    <w:rsid w:val="53ED4E7C"/>
    <w:rsid w:val="54484F64"/>
    <w:rsid w:val="5454651D"/>
    <w:rsid w:val="54579CD5"/>
    <w:rsid w:val="54773825"/>
    <w:rsid w:val="5483EC26"/>
    <w:rsid w:val="5494C885"/>
    <w:rsid w:val="54A2FDE4"/>
    <w:rsid w:val="54BAFF5D"/>
    <w:rsid w:val="54D4553F"/>
    <w:rsid w:val="54E03B8E"/>
    <w:rsid w:val="551C2C2F"/>
    <w:rsid w:val="552E4E63"/>
    <w:rsid w:val="555F73B0"/>
    <w:rsid w:val="55603E5E"/>
    <w:rsid w:val="55615678"/>
    <w:rsid w:val="556693EF"/>
    <w:rsid w:val="5579C428"/>
    <w:rsid w:val="55C7ABF6"/>
    <w:rsid w:val="5615BBA6"/>
    <w:rsid w:val="5630963A"/>
    <w:rsid w:val="564F6173"/>
    <w:rsid w:val="56551D03"/>
    <w:rsid w:val="56B5B1AD"/>
    <w:rsid w:val="56DEB202"/>
    <w:rsid w:val="577A2559"/>
    <w:rsid w:val="578C05DF"/>
    <w:rsid w:val="57B340EA"/>
    <w:rsid w:val="57B9CCAF"/>
    <w:rsid w:val="57BF9BEF"/>
    <w:rsid w:val="57C6D435"/>
    <w:rsid w:val="582AA574"/>
    <w:rsid w:val="5839D129"/>
    <w:rsid w:val="583C55D0"/>
    <w:rsid w:val="585A7D08"/>
    <w:rsid w:val="586743D7"/>
    <w:rsid w:val="587A88DE"/>
    <w:rsid w:val="58E1FE74"/>
    <w:rsid w:val="58E4B956"/>
    <w:rsid w:val="58E70A4F"/>
    <w:rsid w:val="590F8E68"/>
    <w:rsid w:val="5928209F"/>
    <w:rsid w:val="593374F9"/>
    <w:rsid w:val="594E171A"/>
    <w:rsid w:val="59532B36"/>
    <w:rsid w:val="59A70AAF"/>
    <w:rsid w:val="59CFB2BE"/>
    <w:rsid w:val="5A190647"/>
    <w:rsid w:val="5A1E7220"/>
    <w:rsid w:val="5A45CFE9"/>
    <w:rsid w:val="5A5705A3"/>
    <w:rsid w:val="5AAB5EC9"/>
    <w:rsid w:val="5AB1C61B"/>
    <w:rsid w:val="5AB8F849"/>
    <w:rsid w:val="5AEAE1AC"/>
    <w:rsid w:val="5AF16D71"/>
    <w:rsid w:val="5AFF2E7B"/>
    <w:rsid w:val="5B1E099C"/>
    <w:rsid w:val="5B38B01D"/>
    <w:rsid w:val="5B82C293"/>
    <w:rsid w:val="5BC498AC"/>
    <w:rsid w:val="5BD5BCE8"/>
    <w:rsid w:val="5BFC664E"/>
    <w:rsid w:val="5BFCC4A7"/>
    <w:rsid w:val="5C10AF19"/>
    <w:rsid w:val="5C86B20D"/>
    <w:rsid w:val="5C9AF0C3"/>
    <w:rsid w:val="5C9F1252"/>
    <w:rsid w:val="5CA676B9"/>
    <w:rsid w:val="5CB29734"/>
    <w:rsid w:val="5CC29A77"/>
    <w:rsid w:val="5CD7CA59"/>
    <w:rsid w:val="5CDC6B32"/>
    <w:rsid w:val="5D1B3488"/>
    <w:rsid w:val="5D6B5043"/>
    <w:rsid w:val="5D88348C"/>
    <w:rsid w:val="5DC62BE8"/>
    <w:rsid w:val="5DCF608C"/>
    <w:rsid w:val="5DDC13D1"/>
    <w:rsid w:val="5E22826E"/>
    <w:rsid w:val="5E290E33"/>
    <w:rsid w:val="5E3E311F"/>
    <w:rsid w:val="5E7E83A1"/>
    <w:rsid w:val="5ECA9DCD"/>
    <w:rsid w:val="5EFC396E"/>
    <w:rsid w:val="5FEFA8A0"/>
    <w:rsid w:val="6002052C"/>
    <w:rsid w:val="601A5402"/>
    <w:rsid w:val="6037459D"/>
    <w:rsid w:val="60413B4C"/>
    <w:rsid w:val="6042BDFD"/>
    <w:rsid w:val="60761523"/>
    <w:rsid w:val="608E126F"/>
    <w:rsid w:val="60980292"/>
    <w:rsid w:val="609809CF"/>
    <w:rsid w:val="60BE4FD8"/>
    <w:rsid w:val="60C35ABC"/>
    <w:rsid w:val="60E65A55"/>
    <w:rsid w:val="6102DA5A"/>
    <w:rsid w:val="610CCDD3"/>
    <w:rsid w:val="611B8DCB"/>
    <w:rsid w:val="6130DE1B"/>
    <w:rsid w:val="6152E5BC"/>
    <w:rsid w:val="615928FF"/>
    <w:rsid w:val="616D424B"/>
    <w:rsid w:val="6178C875"/>
    <w:rsid w:val="6194C764"/>
    <w:rsid w:val="61A0E1BD"/>
    <w:rsid w:val="61AF44C0"/>
    <w:rsid w:val="622BD60F"/>
    <w:rsid w:val="6233DA30"/>
    <w:rsid w:val="62419A18"/>
    <w:rsid w:val="62769EB4"/>
    <w:rsid w:val="62CEB886"/>
    <w:rsid w:val="62DFD752"/>
    <w:rsid w:val="62F5F391"/>
    <w:rsid w:val="631F71B1"/>
    <w:rsid w:val="632E610C"/>
    <w:rsid w:val="63339E37"/>
    <w:rsid w:val="63356386"/>
    <w:rsid w:val="63484AA4"/>
    <w:rsid w:val="638D6F25"/>
    <w:rsid w:val="63C7A670"/>
    <w:rsid w:val="63E0F70A"/>
    <w:rsid w:val="63E3C829"/>
    <w:rsid w:val="63F5733A"/>
    <w:rsid w:val="64087F11"/>
    <w:rsid w:val="6431AA7C"/>
    <w:rsid w:val="6439200F"/>
    <w:rsid w:val="64528FA1"/>
    <w:rsid w:val="645403C4"/>
    <w:rsid w:val="6490BA16"/>
    <w:rsid w:val="64A9F166"/>
    <w:rsid w:val="652A92DA"/>
    <w:rsid w:val="656DAC4F"/>
    <w:rsid w:val="65A2B847"/>
    <w:rsid w:val="66016BB2"/>
    <w:rsid w:val="66264DE3"/>
    <w:rsid w:val="66279D62"/>
    <w:rsid w:val="662F937E"/>
    <w:rsid w:val="66899586"/>
    <w:rsid w:val="66B0CC47"/>
    <w:rsid w:val="66C50FE7"/>
    <w:rsid w:val="66E533AF"/>
    <w:rsid w:val="66EC2C8D"/>
    <w:rsid w:val="66F19032"/>
    <w:rsid w:val="679836A9"/>
    <w:rsid w:val="6814851F"/>
    <w:rsid w:val="68381DFD"/>
    <w:rsid w:val="684CF581"/>
    <w:rsid w:val="685D94D4"/>
    <w:rsid w:val="690EAF02"/>
    <w:rsid w:val="698B7CAD"/>
    <w:rsid w:val="6997124A"/>
    <w:rsid w:val="69BADD0E"/>
    <w:rsid w:val="6A0EE458"/>
    <w:rsid w:val="6A4F3D25"/>
    <w:rsid w:val="6A702D3E"/>
    <w:rsid w:val="6A959476"/>
    <w:rsid w:val="6A9C8D54"/>
    <w:rsid w:val="6ADD539C"/>
    <w:rsid w:val="6AFDAC72"/>
    <w:rsid w:val="6B08F2FC"/>
    <w:rsid w:val="6B3715C9"/>
    <w:rsid w:val="6B47C403"/>
    <w:rsid w:val="6B588E19"/>
    <w:rsid w:val="6B797D5B"/>
    <w:rsid w:val="6B850AE4"/>
    <w:rsid w:val="6B854966"/>
    <w:rsid w:val="6B94AEF3"/>
    <w:rsid w:val="6BB10B9B"/>
    <w:rsid w:val="6BE22BD1"/>
    <w:rsid w:val="6C431E2E"/>
    <w:rsid w:val="6C45E0B5"/>
    <w:rsid w:val="6C6F30BD"/>
    <w:rsid w:val="6C7805B0"/>
    <w:rsid w:val="6C960B70"/>
    <w:rsid w:val="6C9BDBA6"/>
    <w:rsid w:val="6CD024C8"/>
    <w:rsid w:val="6CFCBCC1"/>
    <w:rsid w:val="6CFD73D7"/>
    <w:rsid w:val="6D30F2D8"/>
    <w:rsid w:val="6D75BB8A"/>
    <w:rsid w:val="6D7DFC32"/>
    <w:rsid w:val="6DBE6574"/>
    <w:rsid w:val="6DC888B9"/>
    <w:rsid w:val="6E003752"/>
    <w:rsid w:val="6E13777B"/>
    <w:rsid w:val="6E624BA9"/>
    <w:rsid w:val="6E91AC0A"/>
    <w:rsid w:val="6EBCEA28"/>
    <w:rsid w:val="6F0A5917"/>
    <w:rsid w:val="6F12469D"/>
    <w:rsid w:val="6F535BA5"/>
    <w:rsid w:val="6F632332"/>
    <w:rsid w:val="6F767894"/>
    <w:rsid w:val="6F856791"/>
    <w:rsid w:val="6FA94865"/>
    <w:rsid w:val="6FE7D80E"/>
    <w:rsid w:val="701B3526"/>
    <w:rsid w:val="7054CF60"/>
    <w:rsid w:val="705F4C9C"/>
    <w:rsid w:val="707D30F5"/>
    <w:rsid w:val="708B4E2C"/>
    <w:rsid w:val="70ABC4F4"/>
    <w:rsid w:val="70B73E7C"/>
    <w:rsid w:val="71664504"/>
    <w:rsid w:val="71680405"/>
    <w:rsid w:val="716A8809"/>
    <w:rsid w:val="71FB1CFD"/>
    <w:rsid w:val="71FBBF0D"/>
    <w:rsid w:val="71FC9FAE"/>
    <w:rsid w:val="720ED423"/>
    <w:rsid w:val="727F0EC9"/>
    <w:rsid w:val="72B19636"/>
    <w:rsid w:val="72BAAE37"/>
    <w:rsid w:val="72C8E0A0"/>
    <w:rsid w:val="72E270C0"/>
    <w:rsid w:val="72E35BFD"/>
    <w:rsid w:val="72F31EA2"/>
    <w:rsid w:val="732AD0AE"/>
    <w:rsid w:val="736BFE45"/>
    <w:rsid w:val="73DBD6FB"/>
    <w:rsid w:val="73DDCA3A"/>
    <w:rsid w:val="744698DB"/>
    <w:rsid w:val="748B9B8A"/>
    <w:rsid w:val="74B66107"/>
    <w:rsid w:val="74C3DE2B"/>
    <w:rsid w:val="74C63A41"/>
    <w:rsid w:val="74DBA632"/>
    <w:rsid w:val="74F66025"/>
    <w:rsid w:val="7510D4EB"/>
    <w:rsid w:val="753CAAB6"/>
    <w:rsid w:val="7540FCC3"/>
    <w:rsid w:val="75B9F209"/>
    <w:rsid w:val="75BAE535"/>
    <w:rsid w:val="75ECF0C9"/>
    <w:rsid w:val="760C22C0"/>
    <w:rsid w:val="76146484"/>
    <w:rsid w:val="761A59B4"/>
    <w:rsid w:val="762F90B3"/>
    <w:rsid w:val="76523168"/>
    <w:rsid w:val="76994909"/>
    <w:rsid w:val="76FA4F60"/>
    <w:rsid w:val="771D0E3C"/>
    <w:rsid w:val="773D1B40"/>
    <w:rsid w:val="777F0EAB"/>
    <w:rsid w:val="77BE0170"/>
    <w:rsid w:val="77D0E506"/>
    <w:rsid w:val="77D8FA15"/>
    <w:rsid w:val="77DE44FA"/>
    <w:rsid w:val="78127815"/>
    <w:rsid w:val="7873E398"/>
    <w:rsid w:val="78D8EBA1"/>
    <w:rsid w:val="78DC8A0D"/>
    <w:rsid w:val="796C1D33"/>
    <w:rsid w:val="7A0A5246"/>
    <w:rsid w:val="7A14FA83"/>
    <w:rsid w:val="7A392C46"/>
    <w:rsid w:val="7A5EE5C6"/>
    <w:rsid w:val="7A92843D"/>
    <w:rsid w:val="7AE98426"/>
    <w:rsid w:val="7B0E865A"/>
    <w:rsid w:val="7B354E40"/>
    <w:rsid w:val="7B57718B"/>
    <w:rsid w:val="7B704B93"/>
    <w:rsid w:val="7B776B4F"/>
    <w:rsid w:val="7B8548C5"/>
    <w:rsid w:val="7BA46E79"/>
    <w:rsid w:val="7BD36B9B"/>
    <w:rsid w:val="7C09F14A"/>
    <w:rsid w:val="7C1A5801"/>
    <w:rsid w:val="7C427D85"/>
    <w:rsid w:val="7C53872D"/>
    <w:rsid w:val="7C7D7FCD"/>
    <w:rsid w:val="7CB24EC9"/>
    <w:rsid w:val="7CF066ED"/>
    <w:rsid w:val="7CF95E54"/>
    <w:rsid w:val="7CFB1EDA"/>
    <w:rsid w:val="7D02B82B"/>
    <w:rsid w:val="7D1FBE48"/>
    <w:rsid w:val="7D23E8D0"/>
    <w:rsid w:val="7D338EBF"/>
    <w:rsid w:val="7D4D30CF"/>
    <w:rsid w:val="7D606B41"/>
    <w:rsid w:val="7DA518B3"/>
    <w:rsid w:val="7DACCEBD"/>
    <w:rsid w:val="7DAD4256"/>
    <w:rsid w:val="7E206985"/>
    <w:rsid w:val="7E3F8E56"/>
    <w:rsid w:val="7E47488B"/>
    <w:rsid w:val="7EA01FB7"/>
    <w:rsid w:val="7EC94B22"/>
    <w:rsid w:val="7EDA79FC"/>
    <w:rsid w:val="7EFCE7E5"/>
    <w:rsid w:val="7F296498"/>
    <w:rsid w:val="7F3B66A2"/>
    <w:rsid w:val="7F5C7E9F"/>
    <w:rsid w:val="7F68FACE"/>
    <w:rsid w:val="7F7CE544"/>
    <w:rsid w:val="7F8A6A6E"/>
    <w:rsid w:val="7FCBF3E5"/>
    <w:rsid w:val="7FD2EE0F"/>
    <w:rsid w:val="7FDB5EB7"/>
    <w:rsid w:val="7FEC7EA7"/>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D2AE83"/>
  <w15:chartTrackingRefBased/>
  <w15:docId w15:val="{819CD40A-E73C-482C-8587-359F0E8A8D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en-IE"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normaltextrun">
    <w:name w:val="normaltextrun"/>
    <w:basedOn w:val="DefaultParagraphFont"/>
    <w:rsid w:val="00953A50"/>
  </w:style>
  <w:style w:type="character" w:customStyle="1" w:styleId="eop">
    <w:name w:val="eop"/>
    <w:basedOn w:val="DefaultParagraphFont"/>
    <w:rsid w:val="00953A50"/>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pPr>
      <w:ind w:left="720"/>
      <w:contextualSpacing/>
    </w:pPr>
  </w:style>
  <w:style w:type="character" w:customStyle="1" w:styleId="Heading1Char">
    <w:name w:val="Heading 1 Char"/>
    <w:basedOn w:val="DefaultParagraphFont"/>
    <w:link w:val="Heading1"/>
    <w:uiPriority w:val="9"/>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2F5496" w:themeColor="accent1" w:themeShade="BF"/>
      <w:sz w:val="26"/>
      <w:szCs w:val="26"/>
    </w:rPr>
  </w:style>
  <w:style w:type="paragraph" w:customStyle="1" w:styleId="paragraph">
    <w:name w:val="paragraph"/>
    <w:basedOn w:val="Normal"/>
    <w:uiPriority w:val="1"/>
    <w:rsid w:val="77BE0170"/>
    <w:pPr>
      <w:spacing w:beforeAutospacing="1" w:afterAutospacing="1"/>
    </w:pPr>
    <w:rPr>
      <w:rFonts w:ascii="Times New Roman" w:eastAsia="Times New Roman" w:hAnsi="Times New Roman" w:cs="Times New Roman"/>
      <w:sz w:val="24"/>
      <w:szCs w:val="24"/>
      <w:lang w:eastAsia="en-IE"/>
    </w:rPr>
  </w:style>
  <w:style w:type="character" w:customStyle="1" w:styleId="ui-provider">
    <w:name w:val="ui-provider"/>
    <w:basedOn w:val="DefaultParagraphFont"/>
    <w:uiPriority w:val="1"/>
    <w:rsid w:val="77BE0170"/>
  </w:style>
  <w:style w:type="paragraph" w:customStyle="1" w:styleId="Default">
    <w:name w:val="Default"/>
    <w:basedOn w:val="Normal"/>
    <w:uiPriority w:val="1"/>
    <w:rsid w:val="77BE0170"/>
    <w:pPr>
      <w:spacing w:after="0"/>
    </w:pPr>
    <w:rPr>
      <w:rFonts w:ascii="Arial" w:eastAsiaTheme="minorEastAsia" w:hAnsi="Arial" w:cs="Arial"/>
      <w:color w:val="000000" w:themeColor="text1"/>
      <w:sz w:val="24"/>
      <w:szCs w:val="24"/>
    </w:rPr>
  </w:style>
  <w:style w:type="character" w:styleId="Strong">
    <w:name w:val="Strong"/>
    <w:basedOn w:val="DefaultParagraphFont"/>
    <w:uiPriority w:val="22"/>
    <w:qFormat/>
    <w:rPr>
      <w:b/>
      <w:bCs/>
    </w:rPr>
  </w:style>
  <w:style w:type="character" w:styleId="Hyperlink">
    <w:name w:val="Hyperlink"/>
    <w:basedOn w:val="DefaultParagraphFont"/>
    <w:uiPriority w:val="99"/>
    <w:unhideWhenUsed/>
    <w:rPr>
      <w:color w:val="0563C1" w:themeColor="hyperlink"/>
      <w:u w:val="single"/>
    </w:rPr>
  </w:style>
  <w:style w:type="character" w:customStyle="1" w:styleId="HeaderChar">
    <w:name w:val="Header Char"/>
    <w:basedOn w:val="DefaultParagraphFont"/>
    <w:link w:val="Header"/>
    <w:uiPriority w:val="99"/>
  </w:style>
  <w:style w:type="paragraph" w:styleId="Header">
    <w:name w:val="header"/>
    <w:basedOn w:val="Normal"/>
    <w:link w:val="Head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paragraph" w:styleId="Footer">
    <w:name w:val="footer"/>
    <w:basedOn w:val="Normal"/>
    <w:link w:val="FooterChar"/>
    <w:uiPriority w:val="99"/>
    <w:unhideWhenUsed/>
    <w:pPr>
      <w:tabs>
        <w:tab w:val="center" w:pos="4680"/>
        <w:tab w:val="right" w:pos="9360"/>
      </w:tabs>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tethys.pnnl.gov/organization/danish-hydraulic-institute-dhi" TargetMode="External"/><Relationship Id="rId18" Type="http://schemas.openxmlformats.org/officeDocument/2006/relationships/image" Target="media/image8.jpg"/><Relationship Id="rId26" Type="http://schemas.openxmlformats.org/officeDocument/2006/relationships/image" Target="media/image16.png"/><Relationship Id="R851d287f60114c0c" Type="http://schemas.microsoft.com/office/2020/10/relationships/intelligence" Target="intelligence2.xml"/><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4.png"/><Relationship Id="rId5"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header" Target="header1.xml"/><Relationship Id="rId10" Type="http://schemas.openxmlformats.org/officeDocument/2006/relationships/image" Target="media/image1.jpg"/><Relationship Id="rId19" Type="http://schemas.openxmlformats.org/officeDocument/2006/relationships/image" Target="media/image9.png"/><Relationship Id="rId31"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hyperlink" Target="https://tethys.pnnl.gov/organization/danish-hydraulic-institute-dhi"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697b4e90-e06e-437f-b471-622bbde0273a">
      <UserInfo>
        <DisplayName>Sarah O'Reilly</DisplayName>
        <AccountId>17</AccountId>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C4F26BAB4C771C4BB12825C7C7ED3F17" ma:contentTypeVersion="5" ma:contentTypeDescription="Create a new document." ma:contentTypeScope="" ma:versionID="c87e87f17196b4966cfc942e7772e249">
  <xsd:schema xmlns:xsd="http://www.w3.org/2001/XMLSchema" xmlns:xs="http://www.w3.org/2001/XMLSchema" xmlns:p="http://schemas.microsoft.com/office/2006/metadata/properties" xmlns:ns2="434c8804-e452-4666-96e7-465e213b8758" xmlns:ns3="697b4e90-e06e-437f-b471-622bbde0273a" targetNamespace="http://schemas.microsoft.com/office/2006/metadata/properties" ma:root="true" ma:fieldsID="203e26803e04f72e4d597c44bf0506d5" ns2:_="" ns3:_="">
    <xsd:import namespace="434c8804-e452-4666-96e7-465e213b8758"/>
    <xsd:import namespace="697b4e90-e06e-437f-b471-622bbde0273a"/>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34c8804-e452-4666-96e7-465e213b875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97b4e90-e06e-437f-b471-622bbde0273a"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CE19C0E-CB9B-4F5B-9D84-DB1B3A40AF2B}">
  <ds:schemaRefs>
    <ds:schemaRef ds:uri="http://schemas.microsoft.com/office/2006/metadata/properties"/>
    <ds:schemaRef ds:uri="http://schemas.microsoft.com/office/infopath/2007/PartnerControls"/>
    <ds:schemaRef ds:uri="697b4e90-e06e-437f-b471-622bbde0273a"/>
  </ds:schemaRefs>
</ds:datastoreItem>
</file>

<file path=customXml/itemProps2.xml><?xml version="1.0" encoding="utf-8"?>
<ds:datastoreItem xmlns:ds="http://schemas.openxmlformats.org/officeDocument/2006/customXml" ds:itemID="{3B266B8A-A239-47A7-976A-9BD1D7971D8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34c8804-e452-4666-96e7-465e213b8758"/>
    <ds:schemaRef ds:uri="697b4e90-e06e-437f-b471-622bbde0273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D6626E9-1DF1-4333-BAE6-C3A399CA0AD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24</Pages>
  <Words>7586</Words>
  <Characters>43241</Characters>
  <Application>Microsoft Office Word</Application>
  <DocSecurity>0</DocSecurity>
  <Lines>360</Lines>
  <Paragraphs>101</Paragraphs>
  <ScaleCrop>false</ScaleCrop>
  <Company/>
  <LinksUpToDate>false</LinksUpToDate>
  <CharactersWithSpaces>50726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O'R</dc:creator>
  <cp:keywords/>
  <dc:description/>
  <cp:lastModifiedBy>Bryan Sheehan</cp:lastModifiedBy>
  <cp:revision>10</cp:revision>
  <dcterms:created xsi:type="dcterms:W3CDTF">2023-10-27T11:56:00Z</dcterms:created>
  <dcterms:modified xsi:type="dcterms:W3CDTF">2023-11-07T15:46:00Z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0x010100C4F26BAB4C771C4BB12825C7C7ED3F17</vt:lpwstr>
  </property>
</Properties>
</file>